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9DDCF" w14:textId="2675F154" w:rsidR="00EB2D25" w:rsidRPr="00C770AD" w:rsidRDefault="00EB2D25" w:rsidP="00EB2D25">
      <w:pPr>
        <w:shd w:val="clear" w:color="auto" w:fill="F2DBDB" w:themeFill="accent2" w:themeFillTint="33"/>
        <w:spacing w:after="480"/>
        <w:jc w:val="both"/>
        <w:rPr>
          <w:rFonts w:ascii="Times New Roman" w:hAnsi="Times New Roman" w:cs="Times New Roman"/>
          <w:color w:val="943634" w:themeColor="accent2" w:themeShade="BF"/>
          <w:sz w:val="24"/>
          <w:szCs w:val="24"/>
          <w:lang w:val="en-GB"/>
        </w:rPr>
      </w:pPr>
      <w:r w:rsidRPr="00C770AD">
        <w:rPr>
          <w:rFonts w:ascii="Times New Roman" w:hAnsi="Times New Roman" w:cs="Times New Roman"/>
          <w:color w:val="943634" w:themeColor="accent2" w:themeShade="BF"/>
          <w:sz w:val="24"/>
          <w:szCs w:val="24"/>
          <w:lang w:val="en-GB"/>
        </w:rPr>
        <w:t>On 16 June 2016 the interested supplier “</w:t>
      </w:r>
      <w:r w:rsidR="003C2A53">
        <w:rPr>
          <w:rFonts w:ascii="Times New Roman" w:hAnsi="Times New Roman" w:cs="Times New Roman"/>
          <w:color w:val="943634" w:themeColor="accent2" w:themeShade="BF"/>
          <w:sz w:val="24"/>
          <w:szCs w:val="24"/>
          <w:lang w:val="en-GB"/>
        </w:rPr>
        <w:t>….</w:t>
      </w:r>
      <w:bookmarkStart w:id="0" w:name="_GoBack"/>
      <w:bookmarkEnd w:id="0"/>
      <w:r w:rsidRPr="00C770AD">
        <w:rPr>
          <w:rFonts w:ascii="Times New Roman" w:hAnsi="Times New Roman" w:cs="Times New Roman"/>
          <w:color w:val="943634" w:themeColor="accent2" w:themeShade="BF"/>
          <w:sz w:val="24"/>
          <w:szCs w:val="24"/>
          <w:lang w:val="en-GB"/>
        </w:rPr>
        <w:t>” submitted its questions with regard to the</w:t>
      </w:r>
      <w:r w:rsidRPr="00C770AD">
        <w:rPr>
          <w:rFonts w:ascii="Times New Roman" w:hAnsi="Times New Roman" w:cs="Times New Roman"/>
          <w:caps/>
          <w:sz w:val="24"/>
          <w:szCs w:val="24"/>
          <w:lang w:val="en-GB"/>
        </w:rPr>
        <w:t xml:space="preserve"> </w:t>
      </w:r>
      <w:r w:rsidRPr="00C770AD">
        <w:rPr>
          <w:rFonts w:ascii="Times New Roman" w:hAnsi="Times New Roman" w:cs="Times New Roman"/>
          <w:color w:val="943634" w:themeColor="accent2" w:themeShade="BF"/>
          <w:sz w:val="24"/>
          <w:szCs w:val="24"/>
          <w:lang w:val="en-GB"/>
        </w:rPr>
        <w:t>Regulation on Candidate Selection of Restricted Procedure for the Development of State Strategy for Operations with the Shares of the Limited Liability Company “Lattelecom” and the Limited Liability Company “Latvijas Mobilais Telefons” (PA/2016/42).</w:t>
      </w:r>
    </w:p>
    <w:p w14:paraId="23F46D92" w14:textId="379A0511" w:rsidR="00926110" w:rsidRPr="00C770AD" w:rsidRDefault="00C770AD" w:rsidP="00C770AD">
      <w:pPr>
        <w:spacing w:after="120"/>
        <w:jc w:val="both"/>
        <w:rPr>
          <w:rFonts w:ascii="Times New Roman" w:hAnsi="Times New Roman" w:cs="Times New Roman"/>
          <w:color w:val="000000" w:themeColor="text1"/>
          <w:sz w:val="24"/>
          <w:szCs w:val="24"/>
          <w:lang w:val="en-GB"/>
        </w:rPr>
      </w:pPr>
      <w:r w:rsidRPr="00C770AD">
        <w:rPr>
          <w:rFonts w:ascii="Times New Roman" w:hAnsi="Times New Roman" w:cs="Times New Roman"/>
          <w:b/>
          <w:color w:val="000000" w:themeColor="text1"/>
          <w:sz w:val="24"/>
          <w:szCs w:val="24"/>
          <w:lang w:val="en-GB"/>
        </w:rPr>
        <w:t>Question</w:t>
      </w:r>
      <w:r>
        <w:rPr>
          <w:rFonts w:ascii="Times New Roman" w:hAnsi="Times New Roman" w:cs="Times New Roman"/>
          <w:color w:val="000000" w:themeColor="text1"/>
          <w:sz w:val="24"/>
          <w:szCs w:val="24"/>
          <w:lang w:val="en-GB"/>
        </w:rPr>
        <w:t xml:space="preserve">: </w:t>
      </w:r>
      <w:r w:rsidR="00926110" w:rsidRPr="00C770AD">
        <w:rPr>
          <w:rFonts w:ascii="Times New Roman" w:hAnsi="Times New Roman" w:cs="Times New Roman"/>
          <w:color w:val="000000" w:themeColor="text1"/>
          <w:sz w:val="24"/>
          <w:szCs w:val="24"/>
          <w:lang w:val="en-GB"/>
        </w:rPr>
        <w:t>Does an in-depth corporate finance, tax and legal examination of a com</w:t>
      </w:r>
      <w:r w:rsidR="00630D8C">
        <w:rPr>
          <w:rFonts w:ascii="Times New Roman" w:hAnsi="Times New Roman" w:cs="Times New Roman"/>
          <w:color w:val="000000" w:themeColor="text1"/>
          <w:sz w:val="24"/>
          <w:szCs w:val="24"/>
          <w:lang w:val="en-GB"/>
        </w:rPr>
        <w:t>pany (i.e. due diligence) prove</w:t>
      </w:r>
      <w:r w:rsidR="00926110" w:rsidRPr="00C770AD">
        <w:rPr>
          <w:rFonts w:ascii="Times New Roman" w:hAnsi="Times New Roman" w:cs="Times New Roman"/>
          <w:color w:val="000000" w:themeColor="text1"/>
          <w:sz w:val="24"/>
          <w:szCs w:val="24"/>
          <w:lang w:val="en-GB"/>
        </w:rPr>
        <w:t xml:space="preserve"> the experience in “evaluation of a </w:t>
      </w:r>
      <w:r w:rsidR="00630D8C">
        <w:rPr>
          <w:rFonts w:ascii="Times New Roman" w:hAnsi="Times New Roman" w:cs="Times New Roman"/>
          <w:color w:val="000000" w:themeColor="text1"/>
          <w:sz w:val="24"/>
          <w:szCs w:val="24"/>
          <w:lang w:val="en-GB"/>
        </w:rPr>
        <w:t>company”</w:t>
      </w:r>
      <w:r w:rsidR="00926110" w:rsidRPr="00C770AD">
        <w:rPr>
          <w:rFonts w:ascii="Times New Roman" w:hAnsi="Times New Roman" w:cs="Times New Roman"/>
          <w:color w:val="000000" w:themeColor="text1"/>
          <w:sz w:val="24"/>
          <w:szCs w:val="24"/>
          <w:lang w:val="en-GB"/>
        </w:rPr>
        <w:t xml:space="preserve"> mentioned in the Paragraphs 7.4.2.1.4 and 7.4.2.2.2 of the Regulation?</w:t>
      </w:r>
      <w:r w:rsidR="00875EB5">
        <w:rPr>
          <w:rFonts w:ascii="Times New Roman" w:hAnsi="Times New Roman" w:cs="Times New Roman"/>
          <w:color w:val="000000" w:themeColor="text1"/>
          <w:sz w:val="24"/>
          <w:szCs w:val="24"/>
          <w:lang w:val="en-GB"/>
        </w:rPr>
        <w:t xml:space="preserve"> </w:t>
      </w:r>
      <w:r w:rsidR="001F0AD0">
        <w:rPr>
          <w:rFonts w:ascii="Times New Roman" w:hAnsi="Times New Roman" w:cs="Times New Roman"/>
          <w:color w:val="000000" w:themeColor="text1"/>
          <w:sz w:val="24"/>
          <w:szCs w:val="24"/>
          <w:lang w:val="en-GB"/>
        </w:rPr>
        <w:t xml:space="preserve">Please </w:t>
      </w:r>
      <w:r w:rsidR="00926110" w:rsidRPr="00C770AD">
        <w:rPr>
          <w:rFonts w:ascii="Times New Roman" w:hAnsi="Times New Roman" w:cs="Times New Roman"/>
          <w:color w:val="000000" w:themeColor="text1"/>
          <w:sz w:val="24"/>
          <w:szCs w:val="24"/>
          <w:lang w:val="en-GB"/>
        </w:rPr>
        <w:t>explain in detail what is meant by “evaluation of a company” in the above mentioned Paragraphs of the Regulation?</w:t>
      </w:r>
    </w:p>
    <w:p w14:paraId="101B9F1E" w14:textId="48F46BC8" w:rsidR="00EB2D25" w:rsidRPr="00C770AD" w:rsidRDefault="00EB2D25" w:rsidP="00C770AD">
      <w:pPr>
        <w:spacing w:after="120"/>
        <w:jc w:val="both"/>
        <w:rPr>
          <w:rFonts w:ascii="Times New Roman" w:hAnsi="Times New Roman" w:cs="Times New Roman"/>
          <w:color w:val="943634" w:themeColor="accent2" w:themeShade="BF"/>
          <w:sz w:val="24"/>
          <w:szCs w:val="24"/>
          <w:lang w:val="en-GB"/>
        </w:rPr>
      </w:pPr>
      <w:r w:rsidRPr="00C770AD">
        <w:rPr>
          <w:rFonts w:ascii="Times New Roman" w:hAnsi="Times New Roman" w:cs="Times New Roman"/>
          <w:b/>
          <w:color w:val="943634" w:themeColor="accent2" w:themeShade="BF"/>
          <w:sz w:val="24"/>
          <w:szCs w:val="24"/>
          <w:lang w:val="en-GB"/>
        </w:rPr>
        <w:t>Answer</w:t>
      </w:r>
      <w:r w:rsidRPr="00C770AD">
        <w:rPr>
          <w:rFonts w:ascii="Times New Roman" w:hAnsi="Times New Roman" w:cs="Times New Roman"/>
          <w:color w:val="943634" w:themeColor="accent2" w:themeShade="BF"/>
          <w:sz w:val="24"/>
          <w:szCs w:val="24"/>
          <w:lang w:val="en-GB"/>
        </w:rPr>
        <w:t xml:space="preserve">: No, in-depth corporate finance, tax and legal examination of a company does not prove the experience in “evaluation of a company” referred to in Paragraphs 7.4.2.1.4 and 7.4.2.2.2 of the Regulation </w:t>
      </w:r>
      <w:r w:rsidRPr="00C770AD">
        <w:rPr>
          <w:rFonts w:ascii="Times New Roman" w:hAnsi="Times New Roman" w:cs="Times New Roman"/>
          <w:color w:val="943634" w:themeColor="accent2" w:themeShade="BF"/>
          <w:lang w:val="en-GB"/>
        </w:rPr>
        <w:t>on Candidate Selection of Restricted Procedure</w:t>
      </w:r>
      <w:r w:rsidRPr="00C770AD">
        <w:rPr>
          <w:rFonts w:ascii="Times New Roman" w:hAnsi="Times New Roman" w:cs="Times New Roman"/>
          <w:color w:val="943634" w:themeColor="accent2" w:themeShade="BF"/>
          <w:sz w:val="24"/>
          <w:szCs w:val="24"/>
          <w:lang w:val="en-GB"/>
        </w:rPr>
        <w:t xml:space="preserve"> for the Development of State Strategy for Operations with the Shares of the Limited Liability Company “Lattelecom” and the Limited Liability Company “Latvijas Mobilais Telefons” (PA/2016/42).</w:t>
      </w:r>
    </w:p>
    <w:p w14:paraId="0EB3F5D4" w14:textId="167605D2" w:rsidR="00EB2D25" w:rsidRPr="00C770AD" w:rsidRDefault="00EB2D25" w:rsidP="00F6702C">
      <w:pPr>
        <w:spacing w:after="240"/>
        <w:jc w:val="both"/>
        <w:rPr>
          <w:rFonts w:ascii="Times New Roman" w:hAnsi="Times New Roman"/>
          <w:color w:val="943634" w:themeColor="accent2" w:themeShade="BF"/>
          <w:sz w:val="24"/>
          <w:szCs w:val="24"/>
          <w:lang w:val="en-GB"/>
        </w:rPr>
      </w:pPr>
      <w:r w:rsidRPr="00C770AD">
        <w:rPr>
          <w:rFonts w:ascii="Times New Roman" w:hAnsi="Times New Roman" w:cs="Times New Roman"/>
          <w:color w:val="943634" w:themeColor="accent2" w:themeShade="BF"/>
          <w:sz w:val="24"/>
          <w:szCs w:val="24"/>
          <w:lang w:val="en-GB"/>
        </w:rPr>
        <w:t xml:space="preserve">By the term “evaluation” one shall understand the determination of the market price of the company </w:t>
      </w:r>
      <w:r w:rsidR="001F0AD0">
        <w:rPr>
          <w:rFonts w:ascii="Times New Roman" w:hAnsi="Times New Roman" w:cs="Times New Roman"/>
          <w:color w:val="943634" w:themeColor="accent2" w:themeShade="BF"/>
          <w:sz w:val="24"/>
          <w:szCs w:val="24"/>
          <w:lang w:val="en-GB"/>
        </w:rPr>
        <w:t>in line with</w:t>
      </w:r>
      <w:r w:rsidRPr="00C770AD">
        <w:rPr>
          <w:rFonts w:ascii="Times New Roman" w:hAnsi="Times New Roman" w:cs="Times New Roman"/>
          <w:color w:val="943634" w:themeColor="accent2" w:themeShade="BF"/>
          <w:sz w:val="24"/>
          <w:szCs w:val="24"/>
          <w:lang w:val="en-GB"/>
        </w:rPr>
        <w:t xml:space="preserve"> </w:t>
      </w:r>
      <w:r w:rsidR="001F0AD0">
        <w:rPr>
          <w:rFonts w:ascii="Times New Roman" w:hAnsi="Times New Roman" w:cs="Times New Roman"/>
          <w:color w:val="943634" w:themeColor="accent2" w:themeShade="BF"/>
          <w:sz w:val="24"/>
          <w:szCs w:val="24"/>
          <w:lang w:val="en-GB"/>
        </w:rPr>
        <w:t xml:space="preserve">property </w:t>
      </w:r>
      <w:r w:rsidRPr="00C770AD">
        <w:rPr>
          <w:rFonts w:ascii="Times New Roman" w:hAnsi="Times New Roman" w:cs="Times New Roman"/>
          <w:color w:val="943634" w:themeColor="accent2" w:themeShade="BF"/>
          <w:sz w:val="24"/>
          <w:szCs w:val="24"/>
          <w:lang w:val="en-GB"/>
        </w:rPr>
        <w:t xml:space="preserve">valuation standards and methods acknowledged (approved/adopted and registered) in Latvia in the procedure stipulated in the Law on </w:t>
      </w:r>
      <w:r w:rsidR="001F0AD0">
        <w:rPr>
          <w:rFonts w:ascii="Times New Roman" w:hAnsi="Times New Roman" w:cs="Times New Roman"/>
          <w:color w:val="943634" w:themeColor="accent2" w:themeShade="BF"/>
          <w:sz w:val="24"/>
          <w:szCs w:val="24"/>
          <w:lang w:val="en-GB"/>
        </w:rPr>
        <w:t>Standardis</w:t>
      </w:r>
      <w:r w:rsidR="00C770AD" w:rsidRPr="00C770AD">
        <w:rPr>
          <w:rFonts w:ascii="Times New Roman" w:hAnsi="Times New Roman" w:cs="Times New Roman"/>
          <w:color w:val="943634" w:themeColor="accent2" w:themeShade="BF"/>
          <w:sz w:val="24"/>
          <w:szCs w:val="24"/>
          <w:lang w:val="en-GB"/>
        </w:rPr>
        <w:t>ation</w:t>
      </w:r>
      <w:r w:rsidRPr="00C770AD">
        <w:rPr>
          <w:rFonts w:ascii="Times New Roman" w:hAnsi="Times New Roman"/>
          <w:color w:val="943634" w:themeColor="accent2" w:themeShade="BF"/>
          <w:sz w:val="24"/>
          <w:szCs w:val="24"/>
          <w:lang w:val="en-GB"/>
        </w:rPr>
        <w:t>.</w:t>
      </w:r>
    </w:p>
    <w:p w14:paraId="11DCE37C" w14:textId="331E13AC" w:rsidR="00926110" w:rsidRPr="00C770AD" w:rsidRDefault="00C770AD" w:rsidP="00875EB5">
      <w:pPr>
        <w:spacing w:before="240" w:after="120"/>
        <w:jc w:val="both"/>
        <w:rPr>
          <w:rFonts w:ascii="Times New Roman" w:hAnsi="Times New Roman"/>
          <w:color w:val="000000" w:themeColor="text1"/>
          <w:sz w:val="24"/>
          <w:szCs w:val="24"/>
          <w:lang w:val="en-GB"/>
        </w:rPr>
      </w:pPr>
      <w:r w:rsidRPr="00C770AD">
        <w:rPr>
          <w:rFonts w:ascii="Times New Roman" w:hAnsi="Times New Roman"/>
          <w:b/>
          <w:color w:val="000000" w:themeColor="text1"/>
          <w:sz w:val="24"/>
          <w:szCs w:val="24"/>
          <w:lang w:val="en-GB"/>
        </w:rPr>
        <w:t>Question</w:t>
      </w:r>
      <w:r>
        <w:rPr>
          <w:rFonts w:ascii="Times New Roman" w:hAnsi="Times New Roman"/>
          <w:color w:val="000000" w:themeColor="text1"/>
          <w:sz w:val="24"/>
          <w:szCs w:val="24"/>
          <w:lang w:val="en-GB"/>
        </w:rPr>
        <w:t xml:space="preserve">: </w:t>
      </w:r>
      <w:r w:rsidR="00926110" w:rsidRPr="00C770AD">
        <w:rPr>
          <w:rFonts w:ascii="Times New Roman" w:hAnsi="Times New Roman"/>
          <w:color w:val="000000" w:themeColor="text1"/>
          <w:sz w:val="24"/>
          <w:szCs w:val="24"/>
          <w:lang w:val="en-GB"/>
        </w:rPr>
        <w:t>Does the remark mentioned in the footnote of the Paragraph 7.4.2.2.3. of the Regulation “qualification requirements regarding the experience of financial experts referred to in Paragraphs 7.4.2.2.2 and 7.4.2.2.3 re</w:t>
      </w:r>
      <w:r w:rsidR="00630D8C">
        <w:rPr>
          <w:rFonts w:ascii="Times New Roman" w:hAnsi="Times New Roman"/>
          <w:color w:val="000000" w:themeColor="text1"/>
          <w:sz w:val="24"/>
          <w:szCs w:val="24"/>
          <w:lang w:val="en-GB"/>
        </w:rPr>
        <w:t>fer to both specialists” accept</w:t>
      </w:r>
      <w:r w:rsidR="00926110" w:rsidRPr="00C770AD">
        <w:rPr>
          <w:rFonts w:ascii="Times New Roman" w:hAnsi="Times New Roman"/>
          <w:color w:val="000000" w:themeColor="text1"/>
          <w:sz w:val="24"/>
          <w:szCs w:val="24"/>
          <w:lang w:val="en-GB"/>
        </w:rPr>
        <w:t xml:space="preserve"> the following situation:</w:t>
      </w:r>
      <w:r w:rsidR="00875EB5">
        <w:rPr>
          <w:rFonts w:ascii="Times New Roman" w:hAnsi="Times New Roman"/>
          <w:color w:val="000000" w:themeColor="text1"/>
          <w:sz w:val="24"/>
          <w:szCs w:val="24"/>
          <w:lang w:val="en-GB"/>
        </w:rPr>
        <w:t xml:space="preserve"> </w:t>
      </w:r>
      <w:r w:rsidR="00926110" w:rsidRPr="00C770AD">
        <w:rPr>
          <w:rFonts w:ascii="Times New Roman" w:hAnsi="Times New Roman"/>
          <w:color w:val="000000" w:themeColor="text1"/>
          <w:sz w:val="24"/>
          <w:szCs w:val="24"/>
          <w:lang w:val="en-GB"/>
        </w:rPr>
        <w:t>For example, one financial expert has the experience of 1 (one) project mentioned in Paragraph 7.4.2.2.2 and another financial expert has the experience of 3 (three) more projects mentioned in Paragraph 7.4.2.2.2 and the entire experience mentioned in Paragraph 7.4.2.2.3.</w:t>
      </w:r>
    </w:p>
    <w:p w14:paraId="629AC14E" w14:textId="54C3D84B" w:rsidR="007C19A6" w:rsidRPr="00C770AD" w:rsidRDefault="00EB2D25" w:rsidP="00F6702C">
      <w:pPr>
        <w:spacing w:after="240"/>
        <w:jc w:val="both"/>
        <w:rPr>
          <w:rFonts w:ascii="Times New Roman" w:hAnsi="Times New Roman" w:cs="Times New Roman"/>
          <w:color w:val="943634" w:themeColor="accent2" w:themeShade="BF"/>
          <w:sz w:val="24"/>
          <w:szCs w:val="24"/>
          <w:lang w:val="en-GB"/>
        </w:rPr>
      </w:pPr>
      <w:r w:rsidRPr="00C770AD">
        <w:rPr>
          <w:rFonts w:ascii="Times New Roman" w:hAnsi="Times New Roman" w:cs="Times New Roman"/>
          <w:b/>
          <w:color w:val="943634" w:themeColor="accent2" w:themeShade="BF"/>
          <w:sz w:val="24"/>
          <w:szCs w:val="24"/>
          <w:lang w:val="en-GB"/>
        </w:rPr>
        <w:t>Answer</w:t>
      </w:r>
      <w:r w:rsidR="007C19A6" w:rsidRPr="00C770AD">
        <w:rPr>
          <w:rFonts w:ascii="Times New Roman" w:hAnsi="Times New Roman" w:cs="Times New Roman"/>
          <w:color w:val="943634" w:themeColor="accent2" w:themeShade="BF"/>
          <w:sz w:val="24"/>
          <w:szCs w:val="24"/>
          <w:lang w:val="en-GB"/>
        </w:rPr>
        <w:t xml:space="preserve">: </w:t>
      </w:r>
      <w:r w:rsidRPr="00C770AD">
        <w:rPr>
          <w:rFonts w:ascii="Times New Roman" w:hAnsi="Times New Roman" w:cs="Times New Roman"/>
          <w:color w:val="943634" w:themeColor="accent2" w:themeShade="BF"/>
          <w:sz w:val="24"/>
          <w:szCs w:val="24"/>
          <w:lang w:val="en-GB"/>
        </w:rPr>
        <w:t>Yes, qualification requirements mentioned in Paragraphs 7.4.2.2.2. and 7.4.2.2.3. of the Regulation on Candidate Selection of Restricted Procedure for the Development of State Strategy for Operations with the Shares of the Limited Liability Company “Lattelecom” and the Limited Liability Company “Latvijas Mobilais Telefons” (PA/2016/42) refer to both specialists</w:t>
      </w:r>
      <w:r w:rsidR="00630D8C">
        <w:rPr>
          <w:rFonts w:ascii="Times New Roman" w:hAnsi="Times New Roman" w:cs="Times New Roman"/>
          <w:color w:val="943634" w:themeColor="accent2" w:themeShade="BF"/>
          <w:sz w:val="24"/>
          <w:szCs w:val="24"/>
          <w:lang w:val="en-GB"/>
        </w:rPr>
        <w:t xml:space="preserve"> taken together</w:t>
      </w:r>
      <w:r w:rsidR="007C19A6" w:rsidRPr="00C770AD">
        <w:rPr>
          <w:rFonts w:ascii="Times New Roman" w:hAnsi="Times New Roman" w:cs="Times New Roman"/>
          <w:color w:val="943634" w:themeColor="accent2" w:themeShade="BF"/>
          <w:sz w:val="24"/>
          <w:szCs w:val="24"/>
          <w:lang w:val="en-GB"/>
        </w:rPr>
        <w:t>.</w:t>
      </w:r>
    </w:p>
    <w:p w14:paraId="7D0EBF74" w14:textId="79534AFA" w:rsidR="00926110" w:rsidRPr="00C770AD" w:rsidRDefault="00C770AD" w:rsidP="00C770AD">
      <w:pPr>
        <w:spacing w:after="120"/>
        <w:jc w:val="both"/>
        <w:rPr>
          <w:rFonts w:ascii="Times New Roman" w:hAnsi="Times New Roman"/>
          <w:color w:val="000000" w:themeColor="text1"/>
          <w:sz w:val="24"/>
          <w:szCs w:val="24"/>
          <w:lang w:val="en-GB"/>
        </w:rPr>
      </w:pPr>
      <w:r w:rsidRPr="00C770AD">
        <w:rPr>
          <w:rFonts w:ascii="Times New Roman" w:hAnsi="Times New Roman"/>
          <w:b/>
          <w:color w:val="000000" w:themeColor="text1"/>
          <w:sz w:val="24"/>
          <w:szCs w:val="24"/>
          <w:lang w:val="en-GB"/>
        </w:rPr>
        <w:t>Question</w:t>
      </w:r>
      <w:r>
        <w:rPr>
          <w:rFonts w:ascii="Times New Roman" w:hAnsi="Times New Roman"/>
          <w:color w:val="000000" w:themeColor="text1"/>
          <w:sz w:val="24"/>
          <w:szCs w:val="24"/>
          <w:lang w:val="en-GB"/>
        </w:rPr>
        <w:t xml:space="preserve">: </w:t>
      </w:r>
      <w:r w:rsidR="00926110" w:rsidRPr="00C770AD">
        <w:rPr>
          <w:rFonts w:ascii="Times New Roman" w:hAnsi="Times New Roman"/>
          <w:color w:val="000000" w:themeColor="text1"/>
          <w:sz w:val="24"/>
          <w:szCs w:val="24"/>
          <w:lang w:val="en-GB"/>
        </w:rPr>
        <w:t>Does the remark mentioned in the footnote of the Paragraph 7.4.2.3.3 of the Regulation “qualification requirements regarding the experience of experts referred to in Paragraphs 7.4.2.3.2 and 7.4.2.3.3 refer to both specialists” accepts the following situation:</w:t>
      </w:r>
      <w:r w:rsidR="00875EB5">
        <w:rPr>
          <w:rFonts w:ascii="Times New Roman" w:hAnsi="Times New Roman"/>
          <w:color w:val="000000" w:themeColor="text1"/>
          <w:sz w:val="24"/>
          <w:szCs w:val="24"/>
          <w:lang w:val="en-GB"/>
        </w:rPr>
        <w:t xml:space="preserve"> </w:t>
      </w:r>
      <w:r w:rsidR="00926110" w:rsidRPr="00C770AD">
        <w:rPr>
          <w:rFonts w:ascii="Times New Roman" w:hAnsi="Times New Roman"/>
          <w:color w:val="000000" w:themeColor="text1"/>
          <w:sz w:val="24"/>
          <w:szCs w:val="24"/>
          <w:lang w:val="en-GB"/>
        </w:rPr>
        <w:t>For example, one expert has the experience of 1 (one) project mentioned in Paragraph 7.4.2.3.2 and another expert has the experience of 2 (two) more projects mentioned in Paragraph 7.4.2.3.2 and the entire experience mentioned in Paragraph 7.4.2.3.3.</w:t>
      </w:r>
    </w:p>
    <w:p w14:paraId="7B6B7133" w14:textId="74D58E40" w:rsidR="00C770AD" w:rsidRPr="00C770AD" w:rsidRDefault="00EB2D25" w:rsidP="00F6702C">
      <w:pPr>
        <w:spacing w:after="240"/>
        <w:jc w:val="both"/>
        <w:rPr>
          <w:rFonts w:ascii="Times New Roman" w:hAnsi="Times New Roman" w:cs="Times New Roman"/>
          <w:color w:val="943634" w:themeColor="accent2" w:themeShade="BF"/>
          <w:sz w:val="24"/>
          <w:szCs w:val="24"/>
          <w:lang w:val="en-GB"/>
        </w:rPr>
      </w:pPr>
      <w:r w:rsidRPr="00875EB5">
        <w:rPr>
          <w:rFonts w:ascii="Times New Roman" w:hAnsi="Times New Roman" w:cs="Times New Roman"/>
          <w:b/>
          <w:color w:val="943634" w:themeColor="accent2" w:themeShade="BF"/>
          <w:sz w:val="24"/>
          <w:szCs w:val="24"/>
          <w:lang w:val="en-GB"/>
        </w:rPr>
        <w:t>Answer</w:t>
      </w:r>
      <w:r w:rsidR="007C19A6" w:rsidRPr="00875EB5">
        <w:rPr>
          <w:rFonts w:ascii="Times New Roman" w:hAnsi="Times New Roman" w:cs="Times New Roman"/>
          <w:b/>
          <w:color w:val="943634" w:themeColor="accent2" w:themeShade="BF"/>
          <w:sz w:val="24"/>
          <w:szCs w:val="24"/>
          <w:lang w:val="en-GB"/>
        </w:rPr>
        <w:t>:</w:t>
      </w:r>
      <w:r w:rsidR="007C19A6" w:rsidRPr="00C770AD">
        <w:rPr>
          <w:rFonts w:ascii="Times New Roman" w:hAnsi="Times New Roman" w:cs="Times New Roman"/>
          <w:color w:val="943634" w:themeColor="accent2" w:themeShade="BF"/>
          <w:sz w:val="24"/>
          <w:szCs w:val="24"/>
          <w:lang w:val="en-GB"/>
        </w:rPr>
        <w:t xml:space="preserve"> </w:t>
      </w:r>
      <w:r w:rsidRPr="00C770AD">
        <w:rPr>
          <w:rFonts w:ascii="Times New Roman" w:hAnsi="Times New Roman" w:cs="Times New Roman"/>
          <w:color w:val="943634" w:themeColor="accent2" w:themeShade="BF"/>
          <w:sz w:val="24"/>
          <w:szCs w:val="24"/>
          <w:lang w:val="en-GB"/>
        </w:rPr>
        <w:t>Yes, qualification requirements mentioned in Paragraphs 7.4.2.2.2. and 7.4.2.2.3. of the Regulation on Candidate Selection of Restricted Procedure for the Development of State Strategy for Operations with the Shares of the Limited Liability Company “Lattelecom” and the Limited Liability Company “Latvijas Mobilais Telefons” (PA/2016/42) refer to both specialists</w:t>
      </w:r>
      <w:r w:rsidR="00630D8C">
        <w:rPr>
          <w:rFonts w:ascii="Times New Roman" w:hAnsi="Times New Roman" w:cs="Times New Roman"/>
          <w:color w:val="943634" w:themeColor="accent2" w:themeShade="BF"/>
          <w:sz w:val="24"/>
          <w:szCs w:val="24"/>
          <w:lang w:val="en-GB"/>
        </w:rPr>
        <w:t xml:space="preserve"> taken together.</w:t>
      </w:r>
    </w:p>
    <w:p w14:paraId="2B59A97B" w14:textId="3FBF34CC" w:rsidR="00926110" w:rsidRPr="00875EB5" w:rsidRDefault="00C770AD" w:rsidP="00C770AD">
      <w:pPr>
        <w:spacing w:after="120"/>
        <w:jc w:val="both"/>
        <w:rPr>
          <w:rFonts w:ascii="Times New Roman" w:hAnsi="Times New Roman" w:cs="Times New Roman"/>
          <w:color w:val="000000" w:themeColor="text1"/>
          <w:sz w:val="24"/>
          <w:szCs w:val="24"/>
          <w:lang w:val="en-GB"/>
        </w:rPr>
      </w:pPr>
      <w:r w:rsidRPr="00C770AD">
        <w:rPr>
          <w:rFonts w:ascii="Times New Roman" w:hAnsi="Times New Roman"/>
          <w:b/>
          <w:color w:val="000000" w:themeColor="text1"/>
          <w:sz w:val="24"/>
          <w:szCs w:val="24"/>
          <w:lang w:val="en-GB"/>
        </w:rPr>
        <w:t>Question</w:t>
      </w:r>
      <w:r>
        <w:rPr>
          <w:rFonts w:ascii="Times New Roman" w:hAnsi="Times New Roman"/>
          <w:color w:val="000000" w:themeColor="text1"/>
          <w:sz w:val="24"/>
          <w:szCs w:val="24"/>
          <w:lang w:val="en-GB"/>
        </w:rPr>
        <w:t xml:space="preserve">: </w:t>
      </w:r>
      <w:r w:rsidR="00926110" w:rsidRPr="00C770AD">
        <w:rPr>
          <w:rFonts w:ascii="Times New Roman" w:hAnsi="Times New Roman" w:cs="Times New Roman"/>
          <w:color w:val="000000" w:themeColor="text1"/>
          <w:sz w:val="24"/>
          <w:szCs w:val="24"/>
          <w:lang w:val="en-GB"/>
        </w:rPr>
        <w:t xml:space="preserve">Question regarding Paragraph 7.4.1 of the Regulation – does the experience of “at least 5 (five) equivalent contracts” need to cover all the experience mentioned in Paragraphs 7.4.1.1 – 7.4.1.3 of the Regulation or is it enough that only one or two of these Paragraphs are covered by </w:t>
      </w:r>
      <w:r w:rsidR="00926110" w:rsidRPr="00875EB5">
        <w:rPr>
          <w:rFonts w:ascii="Times New Roman" w:hAnsi="Times New Roman" w:cs="Times New Roman"/>
          <w:color w:val="000000" w:themeColor="text1"/>
          <w:sz w:val="24"/>
          <w:szCs w:val="24"/>
          <w:lang w:val="en-GB"/>
        </w:rPr>
        <w:t>these 5 (five) equivalent contracts?</w:t>
      </w:r>
    </w:p>
    <w:p w14:paraId="7E08D0CD" w14:textId="2F715357" w:rsidR="00C770AD" w:rsidRPr="00C770AD" w:rsidRDefault="00EB2D25" w:rsidP="00F6702C">
      <w:pPr>
        <w:spacing w:after="240"/>
        <w:jc w:val="both"/>
        <w:rPr>
          <w:rFonts w:ascii="Times New Roman" w:hAnsi="Times New Roman" w:cs="Times New Roman"/>
          <w:color w:val="943634" w:themeColor="accent2" w:themeShade="BF"/>
          <w:sz w:val="24"/>
          <w:szCs w:val="24"/>
          <w:lang w:val="en-GB"/>
        </w:rPr>
      </w:pPr>
      <w:r w:rsidRPr="00875EB5">
        <w:rPr>
          <w:rFonts w:ascii="Times New Roman" w:hAnsi="Times New Roman" w:cs="Times New Roman"/>
          <w:b/>
          <w:color w:val="943634" w:themeColor="accent2" w:themeShade="BF"/>
          <w:sz w:val="24"/>
          <w:szCs w:val="24"/>
          <w:lang w:val="en-GB"/>
        </w:rPr>
        <w:t>Answer</w:t>
      </w:r>
      <w:r w:rsidR="007C19A6" w:rsidRPr="00875EB5">
        <w:rPr>
          <w:rFonts w:ascii="Times New Roman" w:hAnsi="Times New Roman" w:cs="Times New Roman"/>
          <w:b/>
          <w:color w:val="943634" w:themeColor="accent2" w:themeShade="BF"/>
          <w:sz w:val="24"/>
          <w:szCs w:val="24"/>
          <w:lang w:val="en-GB"/>
        </w:rPr>
        <w:t>:</w:t>
      </w:r>
      <w:r w:rsidR="007C19A6" w:rsidRPr="00C770AD">
        <w:rPr>
          <w:rFonts w:ascii="Times New Roman" w:hAnsi="Times New Roman" w:cs="Times New Roman"/>
          <w:color w:val="943634" w:themeColor="accent2" w:themeShade="BF"/>
          <w:sz w:val="24"/>
          <w:szCs w:val="24"/>
          <w:lang w:val="en-GB"/>
        </w:rPr>
        <w:t xml:space="preserve"> </w:t>
      </w:r>
      <w:r w:rsidR="00C770AD" w:rsidRPr="00C770AD">
        <w:rPr>
          <w:rFonts w:ascii="Times New Roman" w:hAnsi="Times New Roman" w:cs="Times New Roman"/>
          <w:color w:val="943634" w:themeColor="accent2" w:themeShade="BF"/>
          <w:sz w:val="24"/>
          <w:szCs w:val="24"/>
          <w:lang w:val="en-GB"/>
        </w:rPr>
        <w:t xml:space="preserve">Paragraph 7.4.1. of the Regulation on Candidate Selection of Restricted Procedure for the Development of State Strategy for Operations with the Shares of the Limited Liability Company “Lattelecom” and the Limited Liability Company “Latvijas Mobilais Telefons” (PA/2016/42) stipulates that as equivalent contracts shall be considered contracts in the framework of which the </w:t>
      </w:r>
      <w:r w:rsidR="00C770AD" w:rsidRPr="00C770AD">
        <w:rPr>
          <w:rFonts w:ascii="Times New Roman" w:hAnsi="Times New Roman" w:cs="Times New Roman"/>
          <w:color w:val="943634" w:themeColor="accent2" w:themeShade="BF"/>
          <w:sz w:val="24"/>
          <w:szCs w:val="24"/>
          <w:lang w:val="en-GB"/>
        </w:rPr>
        <w:lastRenderedPageBreak/>
        <w:t xml:space="preserve">assignments referred to in Paragraphs 7.4.1.1.- 7.4.1.3. have been executed </w:t>
      </w:r>
      <w:r w:rsidR="00630D8C">
        <w:rPr>
          <w:rFonts w:ascii="Times New Roman" w:hAnsi="Times New Roman" w:cs="Times New Roman"/>
          <w:color w:val="943634" w:themeColor="accent2" w:themeShade="BF"/>
          <w:sz w:val="24"/>
          <w:szCs w:val="24"/>
          <w:lang w:val="en-GB"/>
        </w:rPr>
        <w:t>not only in total but also separately</w:t>
      </w:r>
      <w:r w:rsidR="00C770AD" w:rsidRPr="00C770AD">
        <w:rPr>
          <w:rFonts w:ascii="Times New Roman" w:hAnsi="Times New Roman" w:cs="Times New Roman"/>
          <w:color w:val="943634" w:themeColor="accent2" w:themeShade="BF"/>
          <w:sz w:val="24"/>
          <w:szCs w:val="24"/>
          <w:lang w:val="en-GB"/>
        </w:rPr>
        <w:t>. It means that five equivalent contracts might be for only one or several assignments mentioned in Paragraphs 7.4.1.1. – 7.4.1.3.</w:t>
      </w:r>
    </w:p>
    <w:p w14:paraId="6C811108" w14:textId="1F64EC86" w:rsidR="00926110" w:rsidRPr="00C770AD" w:rsidRDefault="00C770AD" w:rsidP="00C770AD">
      <w:pPr>
        <w:spacing w:after="120"/>
        <w:jc w:val="both"/>
        <w:rPr>
          <w:rFonts w:ascii="Times New Roman" w:hAnsi="Times New Roman" w:cs="Times New Roman"/>
          <w:color w:val="000000" w:themeColor="text1"/>
          <w:sz w:val="24"/>
          <w:szCs w:val="24"/>
          <w:lang w:val="en-GB"/>
        </w:rPr>
      </w:pPr>
      <w:r w:rsidRPr="00C770AD">
        <w:rPr>
          <w:rFonts w:ascii="Times New Roman" w:hAnsi="Times New Roman"/>
          <w:b/>
          <w:color w:val="000000" w:themeColor="text1"/>
          <w:sz w:val="24"/>
          <w:szCs w:val="24"/>
          <w:lang w:val="en-GB"/>
        </w:rPr>
        <w:t>Question</w:t>
      </w:r>
      <w:r w:rsidRPr="00C770AD">
        <w:rPr>
          <w:rFonts w:ascii="Times New Roman" w:hAnsi="Times New Roman"/>
          <w:color w:val="000000" w:themeColor="text1"/>
          <w:sz w:val="24"/>
          <w:szCs w:val="24"/>
          <w:lang w:val="en-GB"/>
        </w:rPr>
        <w:t xml:space="preserve">: </w:t>
      </w:r>
      <w:r w:rsidR="00926110" w:rsidRPr="00C770AD">
        <w:rPr>
          <w:rFonts w:ascii="Times New Roman" w:hAnsi="Times New Roman" w:cs="Times New Roman"/>
          <w:color w:val="000000" w:themeColor="text1"/>
          <w:sz w:val="24"/>
          <w:szCs w:val="24"/>
          <w:lang w:val="en-GB"/>
        </w:rPr>
        <w:t>Question regarding the Paragraphs 7.4.2.1.1, 7.4.2.2.1 and 7.4.2.3.1 of the Regulation –does “academic educa</w:t>
      </w:r>
      <w:r w:rsidR="00630D8C">
        <w:rPr>
          <w:rFonts w:ascii="Times New Roman" w:hAnsi="Times New Roman" w:cs="Times New Roman"/>
          <w:color w:val="000000" w:themeColor="text1"/>
          <w:sz w:val="24"/>
          <w:szCs w:val="24"/>
          <w:lang w:val="en-GB"/>
        </w:rPr>
        <w:t>tion” (obtained in Latvia) mean</w:t>
      </w:r>
      <w:r w:rsidR="00926110" w:rsidRPr="00C770AD">
        <w:rPr>
          <w:rFonts w:ascii="Times New Roman" w:hAnsi="Times New Roman" w:cs="Times New Roman"/>
          <w:color w:val="000000" w:themeColor="text1"/>
          <w:sz w:val="24"/>
          <w:szCs w:val="24"/>
          <w:lang w:val="en-GB"/>
        </w:rPr>
        <w:t xml:space="preserve"> Bachelor’s Degree?</w:t>
      </w:r>
    </w:p>
    <w:p w14:paraId="41F9697B" w14:textId="59A0D6FD" w:rsidR="0043657F" w:rsidRPr="00C770AD" w:rsidRDefault="00EB2D25" w:rsidP="00F6702C">
      <w:pPr>
        <w:spacing w:after="240"/>
        <w:jc w:val="both"/>
        <w:rPr>
          <w:rFonts w:ascii="Times New Roman" w:hAnsi="Times New Roman" w:cs="Times New Roman"/>
          <w:color w:val="943634" w:themeColor="accent2" w:themeShade="BF"/>
          <w:sz w:val="24"/>
          <w:szCs w:val="24"/>
          <w:lang w:val="en-GB"/>
        </w:rPr>
      </w:pPr>
      <w:r w:rsidRPr="00875EB5">
        <w:rPr>
          <w:rFonts w:ascii="Times New Roman" w:hAnsi="Times New Roman" w:cs="Times New Roman"/>
          <w:b/>
          <w:color w:val="943634" w:themeColor="accent2" w:themeShade="BF"/>
          <w:sz w:val="24"/>
          <w:szCs w:val="24"/>
          <w:lang w:val="en-GB"/>
        </w:rPr>
        <w:t>Answer</w:t>
      </w:r>
      <w:r w:rsidR="006B61B2" w:rsidRPr="00875EB5">
        <w:rPr>
          <w:rFonts w:ascii="Times New Roman" w:hAnsi="Times New Roman" w:cs="Times New Roman"/>
          <w:b/>
          <w:color w:val="943634" w:themeColor="accent2" w:themeShade="BF"/>
          <w:sz w:val="24"/>
          <w:szCs w:val="24"/>
          <w:lang w:val="en-GB"/>
        </w:rPr>
        <w:t>:</w:t>
      </w:r>
      <w:r w:rsidR="006B61B2" w:rsidRPr="00C770AD">
        <w:rPr>
          <w:rFonts w:ascii="Times New Roman" w:hAnsi="Times New Roman" w:cs="Times New Roman"/>
          <w:color w:val="943634" w:themeColor="accent2" w:themeShade="BF"/>
          <w:sz w:val="24"/>
          <w:szCs w:val="24"/>
          <w:lang w:val="en-GB"/>
        </w:rPr>
        <w:t xml:space="preserve"> </w:t>
      </w:r>
      <w:r w:rsidR="00C770AD" w:rsidRPr="00C770AD">
        <w:rPr>
          <w:rFonts w:ascii="Times New Roman" w:hAnsi="Times New Roman" w:cs="Times New Roman"/>
          <w:color w:val="943634" w:themeColor="accent2" w:themeShade="BF"/>
          <w:sz w:val="24"/>
          <w:szCs w:val="24"/>
          <w:lang w:val="en-GB"/>
        </w:rPr>
        <w:t>Pursuant to</w:t>
      </w:r>
      <w:r w:rsidR="00630D8C">
        <w:rPr>
          <w:rFonts w:ascii="Times New Roman" w:hAnsi="Times New Roman" w:cs="Times New Roman"/>
          <w:color w:val="943634" w:themeColor="accent2" w:themeShade="BF"/>
          <w:sz w:val="24"/>
          <w:szCs w:val="24"/>
          <w:lang w:val="en-GB"/>
        </w:rPr>
        <w:t xml:space="preserve"> the</w:t>
      </w:r>
      <w:r w:rsidR="00C770AD" w:rsidRPr="00C770AD">
        <w:rPr>
          <w:rFonts w:ascii="Times New Roman" w:hAnsi="Times New Roman" w:cs="Times New Roman"/>
          <w:color w:val="943634" w:themeColor="accent2" w:themeShade="BF"/>
          <w:sz w:val="24"/>
          <w:szCs w:val="24"/>
          <w:lang w:val="en-GB"/>
        </w:rPr>
        <w:t xml:space="preserve"> Cabinet of Ministers Regulations No.990 “Regulations on the Classification of Latvia Education”, dd. 2 December 2008</w:t>
      </w:r>
      <w:r w:rsidR="00630D8C">
        <w:rPr>
          <w:rFonts w:ascii="Times New Roman" w:hAnsi="Times New Roman" w:cs="Times New Roman"/>
          <w:color w:val="943634" w:themeColor="accent2" w:themeShade="BF"/>
          <w:sz w:val="24"/>
          <w:szCs w:val="24"/>
          <w:lang w:val="en-GB"/>
        </w:rPr>
        <w:t>,</w:t>
      </w:r>
      <w:r w:rsidR="00C770AD" w:rsidRPr="00C770AD">
        <w:rPr>
          <w:rFonts w:ascii="Times New Roman" w:hAnsi="Times New Roman" w:cs="Times New Roman"/>
          <w:color w:val="943634" w:themeColor="accent2" w:themeShade="BF"/>
          <w:sz w:val="24"/>
          <w:szCs w:val="24"/>
          <w:lang w:val="en-GB"/>
        </w:rPr>
        <w:t xml:space="preserve"> Bachelor’s Degree is academic higher education or second level professional higher education depending on the subject area of education</w:t>
      </w:r>
      <w:r w:rsidR="0043657F" w:rsidRPr="00C770AD">
        <w:rPr>
          <w:rFonts w:ascii="Times New Roman" w:hAnsi="Times New Roman" w:cs="Times New Roman"/>
          <w:color w:val="943634" w:themeColor="accent2" w:themeShade="BF"/>
          <w:sz w:val="24"/>
          <w:szCs w:val="24"/>
          <w:lang w:val="en-GB"/>
        </w:rPr>
        <w:t>.</w:t>
      </w:r>
    </w:p>
    <w:p w14:paraId="3F0E63C0" w14:textId="546461B7" w:rsidR="00926110" w:rsidRPr="00C770AD" w:rsidRDefault="00C770AD" w:rsidP="00C770AD">
      <w:pPr>
        <w:spacing w:after="120"/>
        <w:jc w:val="both"/>
        <w:rPr>
          <w:rFonts w:ascii="Times New Roman" w:hAnsi="Times New Roman" w:cs="Times New Roman"/>
          <w:color w:val="000000" w:themeColor="text1"/>
          <w:sz w:val="24"/>
          <w:szCs w:val="24"/>
          <w:lang w:val="en-GB"/>
        </w:rPr>
      </w:pPr>
      <w:r w:rsidRPr="00C770AD">
        <w:rPr>
          <w:rFonts w:ascii="Times New Roman" w:hAnsi="Times New Roman"/>
          <w:b/>
          <w:color w:val="000000" w:themeColor="text1"/>
          <w:sz w:val="24"/>
          <w:szCs w:val="24"/>
          <w:lang w:val="en-GB"/>
        </w:rPr>
        <w:t>Question</w:t>
      </w:r>
      <w:r w:rsidRPr="00C770AD">
        <w:rPr>
          <w:rFonts w:ascii="Times New Roman" w:hAnsi="Times New Roman"/>
          <w:color w:val="000000" w:themeColor="text1"/>
          <w:sz w:val="24"/>
          <w:szCs w:val="24"/>
          <w:lang w:val="en-GB"/>
        </w:rPr>
        <w:t xml:space="preserve">: </w:t>
      </w:r>
      <w:r w:rsidR="00926110" w:rsidRPr="00C770AD">
        <w:rPr>
          <w:rFonts w:ascii="Times New Roman" w:hAnsi="Times New Roman" w:cs="Times New Roman"/>
          <w:color w:val="000000" w:themeColor="text1"/>
          <w:sz w:val="24"/>
          <w:szCs w:val="24"/>
          <w:lang w:val="en-GB"/>
        </w:rPr>
        <w:t>Please, explain in more detail what science sub-groups are included in the science group “social sciences” mentioned in Paragraphs 7.4.2.1.1, 7.4.2.2.1 and 7.4.2.3.1 of the Regulation?</w:t>
      </w:r>
      <w:r w:rsidR="00F6702C">
        <w:rPr>
          <w:rFonts w:ascii="Times New Roman" w:hAnsi="Times New Roman" w:cs="Times New Roman"/>
          <w:color w:val="000000" w:themeColor="text1"/>
          <w:sz w:val="24"/>
          <w:szCs w:val="24"/>
          <w:lang w:val="en-GB"/>
        </w:rPr>
        <w:t xml:space="preserve"> </w:t>
      </w:r>
      <w:r w:rsidR="00926110" w:rsidRPr="00C770AD">
        <w:rPr>
          <w:rFonts w:ascii="Times New Roman" w:hAnsi="Times New Roman" w:cs="Times New Roman"/>
          <w:color w:val="000000" w:themeColor="text1"/>
          <w:sz w:val="24"/>
          <w:szCs w:val="24"/>
          <w:lang w:val="en-GB"/>
        </w:rPr>
        <w:t>Is physics included in “social sciences”?</w:t>
      </w:r>
    </w:p>
    <w:p w14:paraId="702774DA" w14:textId="7D0F14D9" w:rsidR="0043657F" w:rsidRPr="00C770AD" w:rsidRDefault="00EB2D25" w:rsidP="00C770AD">
      <w:pPr>
        <w:spacing w:after="120"/>
        <w:jc w:val="both"/>
        <w:rPr>
          <w:rFonts w:ascii="Times New Roman" w:hAnsi="Times New Roman" w:cs="Times New Roman"/>
          <w:color w:val="943634" w:themeColor="accent2" w:themeShade="BF"/>
          <w:sz w:val="24"/>
          <w:szCs w:val="24"/>
          <w:lang w:val="en-GB"/>
        </w:rPr>
      </w:pPr>
      <w:r w:rsidRPr="00875EB5">
        <w:rPr>
          <w:rFonts w:ascii="Times New Roman" w:hAnsi="Times New Roman" w:cs="Times New Roman"/>
          <w:b/>
          <w:color w:val="943634" w:themeColor="accent2" w:themeShade="BF"/>
          <w:sz w:val="24"/>
          <w:szCs w:val="24"/>
          <w:lang w:val="en-GB"/>
        </w:rPr>
        <w:t>Answer</w:t>
      </w:r>
      <w:r w:rsidR="0043657F" w:rsidRPr="00875EB5">
        <w:rPr>
          <w:rFonts w:ascii="Times New Roman" w:hAnsi="Times New Roman" w:cs="Times New Roman"/>
          <w:b/>
          <w:color w:val="943634" w:themeColor="accent2" w:themeShade="BF"/>
          <w:sz w:val="24"/>
          <w:szCs w:val="24"/>
          <w:lang w:val="en-GB"/>
        </w:rPr>
        <w:t>:</w:t>
      </w:r>
      <w:r w:rsidR="0043657F" w:rsidRPr="00C770AD">
        <w:rPr>
          <w:rFonts w:ascii="Times New Roman" w:hAnsi="Times New Roman" w:cs="Times New Roman"/>
          <w:color w:val="943634" w:themeColor="accent2" w:themeShade="BF"/>
          <w:sz w:val="24"/>
          <w:szCs w:val="24"/>
          <w:lang w:val="en-GB"/>
        </w:rPr>
        <w:t xml:space="preserve"> </w:t>
      </w:r>
      <w:r w:rsidR="00C770AD" w:rsidRPr="00C770AD">
        <w:rPr>
          <w:rFonts w:ascii="Times New Roman" w:hAnsi="Times New Roman" w:cs="Times New Roman"/>
          <w:color w:val="943634" w:themeColor="accent2" w:themeShade="BF"/>
          <w:sz w:val="24"/>
          <w:szCs w:val="24"/>
          <w:lang w:val="en-GB"/>
        </w:rPr>
        <w:t xml:space="preserve">Subject areas of education and groups of education programmes </w:t>
      </w:r>
      <w:r w:rsidR="00630D8C">
        <w:rPr>
          <w:rFonts w:ascii="Times New Roman" w:hAnsi="Times New Roman" w:cs="Times New Roman"/>
          <w:color w:val="943634" w:themeColor="accent2" w:themeShade="BF"/>
          <w:sz w:val="24"/>
          <w:szCs w:val="24"/>
          <w:lang w:val="en-GB"/>
        </w:rPr>
        <w:t>have been</w:t>
      </w:r>
      <w:r w:rsidR="00C770AD" w:rsidRPr="00C770AD">
        <w:rPr>
          <w:rFonts w:ascii="Times New Roman" w:hAnsi="Times New Roman" w:cs="Times New Roman"/>
          <w:color w:val="943634" w:themeColor="accent2" w:themeShade="BF"/>
          <w:sz w:val="24"/>
          <w:szCs w:val="24"/>
          <w:lang w:val="en-GB"/>
        </w:rPr>
        <w:t xml:space="preserve"> approved by the Cabinet of Ministers Regulations No.990 “Regulations on the Classification of Latvia Education”, dd. 2 December 2008</w:t>
      </w:r>
      <w:r w:rsidR="0043657F" w:rsidRPr="00C770AD">
        <w:rPr>
          <w:rFonts w:ascii="Times New Roman" w:hAnsi="Times New Roman" w:cs="Times New Roman"/>
          <w:color w:val="943634" w:themeColor="accent2" w:themeShade="BF"/>
          <w:sz w:val="24"/>
          <w:szCs w:val="24"/>
          <w:lang w:val="en-GB"/>
        </w:rPr>
        <w:t xml:space="preserve"> (</w:t>
      </w:r>
      <w:r w:rsidR="00C770AD" w:rsidRPr="00C770AD">
        <w:rPr>
          <w:rFonts w:ascii="Times New Roman" w:hAnsi="Times New Roman" w:cs="Times New Roman"/>
          <w:color w:val="943634" w:themeColor="accent2" w:themeShade="BF"/>
          <w:sz w:val="24"/>
          <w:szCs w:val="24"/>
          <w:lang w:val="en-GB"/>
        </w:rPr>
        <w:t xml:space="preserve">Annex </w:t>
      </w:r>
      <w:r w:rsidR="0043657F" w:rsidRPr="00C770AD">
        <w:rPr>
          <w:rFonts w:ascii="Times New Roman" w:hAnsi="Times New Roman" w:cs="Times New Roman"/>
          <w:color w:val="943634" w:themeColor="accent2" w:themeShade="BF"/>
          <w:sz w:val="24"/>
          <w:szCs w:val="24"/>
          <w:lang w:val="en-GB"/>
        </w:rPr>
        <w:t xml:space="preserve">2). </w:t>
      </w:r>
      <w:r w:rsidR="00C770AD" w:rsidRPr="00C770AD">
        <w:rPr>
          <w:rFonts w:ascii="Times New Roman" w:hAnsi="Times New Roman" w:cs="Times New Roman"/>
          <w:color w:val="943634" w:themeColor="accent2" w:themeShade="BF"/>
          <w:sz w:val="24"/>
          <w:szCs w:val="24"/>
          <w:lang w:val="en-GB"/>
        </w:rPr>
        <w:t xml:space="preserve">The said regulations are available at </w:t>
      </w:r>
      <w:hyperlink r:id="rId5" w:anchor="piel2&amp;pd=1" w:history="1">
        <w:r w:rsidR="0043657F" w:rsidRPr="00C770AD">
          <w:rPr>
            <w:color w:val="943634" w:themeColor="accent2" w:themeShade="BF"/>
            <w:lang w:val="en-GB"/>
          </w:rPr>
          <w:t>http://likumi.lv/ta/id/184810-noteikumi-par-latvijas-izglitibas-klasifikaciju#piel2&amp;pd=1</w:t>
        </w:r>
      </w:hyperlink>
      <w:r w:rsidR="0043657F" w:rsidRPr="00C770AD">
        <w:rPr>
          <w:rFonts w:ascii="Times New Roman" w:hAnsi="Times New Roman" w:cs="Times New Roman"/>
          <w:color w:val="943634" w:themeColor="accent2" w:themeShade="BF"/>
          <w:sz w:val="24"/>
          <w:szCs w:val="24"/>
          <w:lang w:val="en-GB"/>
        </w:rPr>
        <w:t xml:space="preserve">. </w:t>
      </w:r>
      <w:r w:rsidR="00C770AD" w:rsidRPr="00C770AD">
        <w:rPr>
          <w:rFonts w:ascii="Times New Roman" w:hAnsi="Times New Roman" w:cs="Times New Roman"/>
          <w:color w:val="943634" w:themeColor="accent2" w:themeShade="BF"/>
          <w:sz w:val="24"/>
          <w:szCs w:val="24"/>
          <w:lang w:val="en-GB"/>
        </w:rPr>
        <w:t>As per the referred Cabinet of Ministers regulations, physics is not included in the subject area of education “Social sciences, commercial sciences and law</w:t>
      </w:r>
      <w:r w:rsidR="0043657F" w:rsidRPr="00C770AD">
        <w:rPr>
          <w:rFonts w:ascii="Times New Roman" w:hAnsi="Times New Roman" w:cs="Times New Roman"/>
          <w:color w:val="943634" w:themeColor="accent2" w:themeShade="BF"/>
          <w:sz w:val="24"/>
          <w:szCs w:val="24"/>
          <w:lang w:val="en-GB"/>
        </w:rPr>
        <w:t>”.</w:t>
      </w:r>
    </w:p>
    <w:sectPr w:rsidR="0043657F" w:rsidRPr="00C770AD" w:rsidSect="00CD51F9">
      <w:pgSz w:w="11907" w:h="16839" w:code="9"/>
      <w:pgMar w:top="1632" w:right="1116" w:bottom="689" w:left="133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EYInterstate Light">
    <w:altName w:val="Arial Narrow"/>
    <w:charset w:val="BA"/>
    <w:family w:val="auto"/>
    <w:pitch w:val="variable"/>
    <w:sig w:usb0="00000001" w:usb1="5000206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D1155"/>
    <w:multiLevelType w:val="hybridMultilevel"/>
    <w:tmpl w:val="5CAEFB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5C3CFD"/>
    <w:multiLevelType w:val="hybridMultilevel"/>
    <w:tmpl w:val="C27C85EC"/>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0A45ED"/>
    <w:multiLevelType w:val="hybridMultilevel"/>
    <w:tmpl w:val="6E8C7576"/>
    <w:lvl w:ilvl="0" w:tplc="174637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52"/>
    <w:rsid w:val="00006930"/>
    <w:rsid w:val="00045216"/>
    <w:rsid w:val="000839F5"/>
    <w:rsid w:val="001F0AD0"/>
    <w:rsid w:val="00245347"/>
    <w:rsid w:val="00262958"/>
    <w:rsid w:val="002D2A66"/>
    <w:rsid w:val="002F5ED7"/>
    <w:rsid w:val="00316479"/>
    <w:rsid w:val="003557E8"/>
    <w:rsid w:val="003C2A53"/>
    <w:rsid w:val="004031DA"/>
    <w:rsid w:val="00417866"/>
    <w:rsid w:val="0043657F"/>
    <w:rsid w:val="00481055"/>
    <w:rsid w:val="004B18D3"/>
    <w:rsid w:val="005071ED"/>
    <w:rsid w:val="0058758D"/>
    <w:rsid w:val="005F4AD5"/>
    <w:rsid w:val="00615B2A"/>
    <w:rsid w:val="00630D8C"/>
    <w:rsid w:val="006A6CC5"/>
    <w:rsid w:val="006B61B2"/>
    <w:rsid w:val="00722BED"/>
    <w:rsid w:val="00751B91"/>
    <w:rsid w:val="007C0A89"/>
    <w:rsid w:val="007C19A6"/>
    <w:rsid w:val="00853AF1"/>
    <w:rsid w:val="00854BF7"/>
    <w:rsid w:val="00875EB5"/>
    <w:rsid w:val="008806B9"/>
    <w:rsid w:val="008D2C21"/>
    <w:rsid w:val="0091795A"/>
    <w:rsid w:val="00920B22"/>
    <w:rsid w:val="00922DED"/>
    <w:rsid w:val="0092316E"/>
    <w:rsid w:val="00926110"/>
    <w:rsid w:val="00941EF0"/>
    <w:rsid w:val="0096316B"/>
    <w:rsid w:val="009A423E"/>
    <w:rsid w:val="009B1785"/>
    <w:rsid w:val="009E2827"/>
    <w:rsid w:val="00AF7D00"/>
    <w:rsid w:val="00B544AC"/>
    <w:rsid w:val="00B75191"/>
    <w:rsid w:val="00B8227F"/>
    <w:rsid w:val="00B96DB8"/>
    <w:rsid w:val="00BA3FFD"/>
    <w:rsid w:val="00BB0A8B"/>
    <w:rsid w:val="00BF3AED"/>
    <w:rsid w:val="00C045B9"/>
    <w:rsid w:val="00C07017"/>
    <w:rsid w:val="00C770AD"/>
    <w:rsid w:val="00C805BD"/>
    <w:rsid w:val="00CD51F9"/>
    <w:rsid w:val="00DB1D52"/>
    <w:rsid w:val="00DF08BA"/>
    <w:rsid w:val="00E44C8E"/>
    <w:rsid w:val="00E64662"/>
    <w:rsid w:val="00E904B0"/>
    <w:rsid w:val="00EB2D25"/>
    <w:rsid w:val="00F6702C"/>
    <w:rsid w:val="00F91E9E"/>
    <w:rsid w:val="00F95F56"/>
    <w:rsid w:val="00FA422B"/>
    <w:rsid w:val="00FC48E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AEF4"/>
  <w15:docId w15:val="{1D4EDF3D-9C26-4F76-94C1-4254DA47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D52"/>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417866"/>
    <w:rPr>
      <w:rFonts w:ascii="Tahoma" w:hAnsi="Tahoma" w:cs="Tahoma"/>
      <w:sz w:val="16"/>
      <w:szCs w:val="16"/>
    </w:rPr>
  </w:style>
  <w:style w:type="character" w:customStyle="1" w:styleId="BalloonTextChar">
    <w:name w:val="Balloon Text Char"/>
    <w:basedOn w:val="DefaultParagraphFont"/>
    <w:link w:val="BalloonText"/>
    <w:uiPriority w:val="99"/>
    <w:semiHidden/>
    <w:rsid w:val="00417866"/>
    <w:rPr>
      <w:rFonts w:ascii="Tahoma" w:hAnsi="Tahoma" w:cs="Tahoma"/>
      <w:sz w:val="16"/>
      <w:szCs w:val="16"/>
    </w:rPr>
  </w:style>
  <w:style w:type="character" w:styleId="CommentReference">
    <w:name w:val="annotation reference"/>
    <w:basedOn w:val="DefaultParagraphFont"/>
    <w:uiPriority w:val="99"/>
    <w:semiHidden/>
    <w:unhideWhenUsed/>
    <w:rsid w:val="00417866"/>
    <w:rPr>
      <w:sz w:val="16"/>
      <w:szCs w:val="16"/>
    </w:rPr>
  </w:style>
  <w:style w:type="paragraph" w:styleId="CommentText">
    <w:name w:val="annotation text"/>
    <w:basedOn w:val="Normal"/>
    <w:link w:val="CommentTextChar"/>
    <w:uiPriority w:val="99"/>
    <w:semiHidden/>
    <w:unhideWhenUsed/>
    <w:rsid w:val="00417866"/>
    <w:rPr>
      <w:sz w:val="20"/>
      <w:szCs w:val="20"/>
    </w:rPr>
  </w:style>
  <w:style w:type="character" w:customStyle="1" w:styleId="CommentTextChar">
    <w:name w:val="Comment Text Char"/>
    <w:basedOn w:val="DefaultParagraphFont"/>
    <w:link w:val="CommentText"/>
    <w:uiPriority w:val="99"/>
    <w:semiHidden/>
    <w:rsid w:val="00417866"/>
    <w:rPr>
      <w:sz w:val="20"/>
      <w:szCs w:val="20"/>
    </w:rPr>
  </w:style>
  <w:style w:type="paragraph" w:styleId="CommentSubject">
    <w:name w:val="annotation subject"/>
    <w:basedOn w:val="CommentText"/>
    <w:next w:val="CommentText"/>
    <w:link w:val="CommentSubjectChar"/>
    <w:uiPriority w:val="99"/>
    <w:semiHidden/>
    <w:unhideWhenUsed/>
    <w:rsid w:val="00417866"/>
    <w:rPr>
      <w:b/>
      <w:bCs/>
    </w:rPr>
  </w:style>
  <w:style w:type="character" w:customStyle="1" w:styleId="CommentSubjectChar">
    <w:name w:val="Comment Subject Char"/>
    <w:basedOn w:val="CommentTextChar"/>
    <w:link w:val="CommentSubject"/>
    <w:uiPriority w:val="99"/>
    <w:semiHidden/>
    <w:rsid w:val="00417866"/>
    <w:rPr>
      <w:b/>
      <w:bCs/>
      <w:sz w:val="20"/>
      <w:szCs w:val="20"/>
    </w:rPr>
  </w:style>
  <w:style w:type="character" w:styleId="Hyperlink">
    <w:name w:val="Hyperlink"/>
    <w:basedOn w:val="DefaultParagraphFont"/>
    <w:uiPriority w:val="99"/>
    <w:unhideWhenUsed/>
    <w:rsid w:val="0043657F"/>
    <w:rPr>
      <w:color w:val="0000FF" w:themeColor="hyperlink"/>
      <w:u w:val="single"/>
    </w:rPr>
  </w:style>
  <w:style w:type="paragraph" w:customStyle="1" w:styleId="EYBodytextnoparaspace">
    <w:name w:val="EY Body text (no para space)"/>
    <w:basedOn w:val="Normal"/>
    <w:link w:val="EYBodytextnoparaspaceChar"/>
    <w:rsid w:val="00926110"/>
    <w:pPr>
      <w:tabs>
        <w:tab w:val="left" w:pos="907"/>
      </w:tabs>
      <w:suppressAutoHyphens/>
      <w:spacing w:line="260" w:lineRule="atLeast"/>
    </w:pPr>
    <w:rPr>
      <w:rFonts w:ascii="EYInterstate Light" w:eastAsia="Times New Roman" w:hAnsi="EYInterstate Light" w:cs="Times New Roman"/>
      <w:kern w:val="12"/>
      <w:sz w:val="20"/>
      <w:szCs w:val="24"/>
      <w:lang w:val="en-US" w:eastAsia="en-US"/>
    </w:rPr>
  </w:style>
  <w:style w:type="character" w:customStyle="1" w:styleId="EYBodytextnoparaspaceChar">
    <w:name w:val="EY Body text (no para space) Char"/>
    <w:basedOn w:val="DefaultParagraphFont"/>
    <w:link w:val="EYBodytextnoparaspace"/>
    <w:rsid w:val="00926110"/>
    <w:rPr>
      <w:rFonts w:ascii="EYInterstate Light" w:eastAsia="Times New Roman" w:hAnsi="EYInterstate Light" w:cs="Times New Roman"/>
      <w:kern w:val="12"/>
      <w:sz w:val="20"/>
      <w:szCs w:val="24"/>
      <w:lang w:val="en-US" w:eastAsia="en-US"/>
    </w:rPr>
  </w:style>
  <w:style w:type="paragraph" w:styleId="ListParagraph">
    <w:name w:val="List Paragraph"/>
    <w:basedOn w:val="Normal"/>
    <w:uiPriority w:val="34"/>
    <w:qFormat/>
    <w:rsid w:val="00C77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kumi.lv/ta/id/184810-noteikumi-par-latvijas-izglitibas-klasifikacij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3512</Words>
  <Characters>2002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Grants</dc:creator>
  <cp:lastModifiedBy>Ingrīda Purmale</cp:lastModifiedBy>
  <cp:revision>2</cp:revision>
  <cp:lastPrinted>2016-06-17T05:42:00Z</cp:lastPrinted>
  <dcterms:created xsi:type="dcterms:W3CDTF">2016-06-17T05:43:00Z</dcterms:created>
  <dcterms:modified xsi:type="dcterms:W3CDTF">2016-06-17T05:43:00Z</dcterms:modified>
</cp:coreProperties>
</file>