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BA758E" w:rsidP="00800D80">
            <w:pPr>
              <w:pStyle w:val="Subtitle"/>
              <w:rPr>
                <w:b/>
                <w:sz w:val="22"/>
              </w:rPr>
            </w:pPr>
            <w:r w:rsidRPr="008A59C7">
              <w:rPr>
                <w:b/>
                <w:szCs w:val="24"/>
              </w:rPr>
              <w:t>Zemes ierīcības projekta izstrāde</w:t>
            </w:r>
            <w:r>
              <w:rPr>
                <w:b/>
                <w:szCs w:val="24"/>
              </w:rPr>
              <w:t xml:space="preserve"> nekustamā īpašuma sadalīšanai</w:t>
            </w:r>
            <w:r w:rsidRPr="008A59C7">
              <w:rPr>
                <w:b/>
                <w:szCs w:val="24"/>
              </w:rPr>
              <w:t>, zemes vienību kadastrālā uzmērīšana, zemes robežu, situācijas un apgrūtinājumu plānu izgatavošana, jaunizveidoto zemes vienību reģistrēšana un datu aktualizēšana Valsts zemes dienesta Nekustamā īpašuma valsts kadastra informācijas sistēmā ("</w:t>
            </w:r>
            <w:proofErr w:type="spellStart"/>
            <w:r w:rsidRPr="008A59C7">
              <w:rPr>
                <w:b/>
                <w:szCs w:val="24"/>
              </w:rPr>
              <w:t>Ziemciems</w:t>
            </w:r>
            <w:proofErr w:type="spellEnd"/>
            <w:r w:rsidRPr="008A59C7">
              <w:rPr>
                <w:b/>
                <w:szCs w:val="24"/>
              </w:rPr>
              <w:t>", Kazdanga, Kazdangas pagasts, Aizputes novads)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BA758E">
        <w:rPr>
          <w:szCs w:val="24"/>
          <w:u w:val="single"/>
        </w:rPr>
        <w:t>2018/43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BA758E">
        <w:rPr>
          <w:szCs w:val="24"/>
          <w:u w:val="single"/>
        </w:rPr>
        <w:t>26.06</w:t>
      </w:r>
      <w:r w:rsidR="009D1C82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8A7C79" w:rsidP="00BA758E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BA758E">
              <w:rPr>
                <w:b/>
                <w:szCs w:val="24"/>
              </w:rPr>
              <w:t>METRUM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BA758E" w:rsidP="009D1C82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40003388748</w:t>
            </w:r>
          </w:p>
        </w:tc>
        <w:tc>
          <w:tcPr>
            <w:tcW w:w="2551" w:type="dxa"/>
            <w:vAlign w:val="center"/>
          </w:tcPr>
          <w:p w:rsidR="004A0AF3" w:rsidRPr="00B64A8B" w:rsidRDefault="00BA758E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Ģertrūdes iela 47, Rīga, LV - 1011</w:t>
            </w:r>
          </w:p>
        </w:tc>
        <w:tc>
          <w:tcPr>
            <w:tcW w:w="2268" w:type="dxa"/>
            <w:vAlign w:val="center"/>
          </w:tcPr>
          <w:p w:rsidR="002F0392" w:rsidRPr="00B64A8B" w:rsidRDefault="00BA758E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1623.00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A758E">
        <w:rPr>
          <w:szCs w:val="24"/>
          <w:u w:val="single"/>
        </w:rPr>
        <w:t>26.06</w:t>
      </w:r>
      <w:r w:rsidR="008A7C79">
        <w:rPr>
          <w:szCs w:val="24"/>
          <w:u w:val="single"/>
        </w:rPr>
        <w:t>.</w:t>
      </w:r>
      <w:r w:rsidR="001D6BEA" w:rsidRPr="001D6BEA">
        <w:rPr>
          <w:szCs w:val="24"/>
          <w:u w:val="single"/>
        </w:rPr>
        <w:t>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4033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D59D7"/>
    <w:rsid w:val="008E3281"/>
    <w:rsid w:val="00913FC1"/>
    <w:rsid w:val="009607B6"/>
    <w:rsid w:val="009B48CF"/>
    <w:rsid w:val="009C66B0"/>
    <w:rsid w:val="009D1C82"/>
    <w:rsid w:val="009D3206"/>
    <w:rsid w:val="00A03612"/>
    <w:rsid w:val="00A03BDA"/>
    <w:rsid w:val="00A43884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A758E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92884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2018-06-26T12:47:00Z</dcterms:created>
  <dcterms:modified xsi:type="dcterms:W3CDTF">2018-06-26T12:48:00Z</dcterms:modified>
</cp:coreProperties>
</file>