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CAEE" w14:textId="67A0A753" w:rsidR="00A36853" w:rsidRPr="00A36853" w:rsidRDefault="00A36853" w:rsidP="00A36853">
      <w:pPr>
        <w:ind w:left="720" w:right="56"/>
        <w:jc w:val="right"/>
        <w:rPr>
          <w:rFonts w:ascii="Times New Roman" w:hAnsi="Times New Roman"/>
          <w:b/>
          <w:szCs w:val="24"/>
        </w:rPr>
      </w:pPr>
      <w:r w:rsidRPr="00A36853">
        <w:rPr>
          <w:rFonts w:ascii="Times New Roman" w:hAnsi="Times New Roman"/>
          <w:b/>
          <w:szCs w:val="24"/>
        </w:rPr>
        <w:t>10</w:t>
      </w:r>
      <w:r w:rsidRPr="00A36853">
        <w:rPr>
          <w:rFonts w:ascii="Times New Roman" w:hAnsi="Times New Roman"/>
          <w:b/>
          <w:szCs w:val="24"/>
        </w:rPr>
        <w:t>.PIELIKUMS</w:t>
      </w:r>
    </w:p>
    <w:p w14:paraId="38A6C15C" w14:textId="77777777" w:rsidR="00A36853" w:rsidRPr="00A36853" w:rsidRDefault="00A36853" w:rsidP="00A36853">
      <w:pPr>
        <w:jc w:val="right"/>
        <w:rPr>
          <w:rFonts w:ascii="Times New Roman" w:hAnsi="Times New Roman"/>
          <w:sz w:val="20"/>
        </w:rPr>
      </w:pPr>
      <w:r w:rsidRPr="00A36853">
        <w:rPr>
          <w:rFonts w:ascii="Times New Roman" w:hAnsi="Times New Roman"/>
          <w:sz w:val="20"/>
        </w:rPr>
        <w:t xml:space="preserve">Daugavpils </w:t>
      </w:r>
      <w:proofErr w:type="spellStart"/>
      <w:r w:rsidRPr="00A36853">
        <w:rPr>
          <w:rFonts w:ascii="Times New Roman" w:hAnsi="Times New Roman"/>
          <w:sz w:val="20"/>
        </w:rPr>
        <w:t>valstspilsētas</w:t>
      </w:r>
      <w:proofErr w:type="spellEnd"/>
      <w:r w:rsidRPr="00A36853">
        <w:rPr>
          <w:rFonts w:ascii="Times New Roman" w:hAnsi="Times New Roman"/>
          <w:sz w:val="20"/>
        </w:rPr>
        <w:t xml:space="preserve"> pašvaldībai piederošo SIA “Daugavpils autobusu parks”</w:t>
      </w:r>
    </w:p>
    <w:p w14:paraId="7054C966" w14:textId="77777777" w:rsidR="00A36853" w:rsidRPr="00371783" w:rsidRDefault="00A36853" w:rsidP="00A36853">
      <w:pPr>
        <w:jc w:val="right"/>
        <w:rPr>
          <w:rFonts w:asciiTheme="majorBidi" w:hAnsiTheme="majorBidi" w:cstheme="majorBidi"/>
          <w:sz w:val="22"/>
          <w:szCs w:val="22"/>
        </w:rPr>
      </w:pPr>
      <w:r w:rsidRPr="00A36853">
        <w:rPr>
          <w:rFonts w:ascii="Times New Roman" w:hAnsi="Times New Roman"/>
          <w:sz w:val="20"/>
        </w:rPr>
        <w:t>100% kapitāla daļu pārdošanas noteikumiem</w:t>
      </w:r>
    </w:p>
    <w:p w14:paraId="06D1250E" w14:textId="77777777" w:rsidR="00A36853" w:rsidRDefault="00A36853" w:rsidP="00CC149A">
      <w:pPr>
        <w:pStyle w:val="Title"/>
        <w:rPr>
          <w:b/>
          <w:sz w:val="24"/>
          <w:szCs w:val="24"/>
        </w:rPr>
      </w:pPr>
    </w:p>
    <w:p w14:paraId="7E6E7933" w14:textId="1E9C7929" w:rsidR="00A36853" w:rsidRPr="00A36853" w:rsidRDefault="00A36853" w:rsidP="00A36853">
      <w:pPr>
        <w:pStyle w:val="Title"/>
        <w:jc w:val="right"/>
        <w:rPr>
          <w:b/>
          <w:szCs w:val="28"/>
        </w:rPr>
      </w:pPr>
      <w:r w:rsidRPr="00A36853">
        <w:rPr>
          <w:b/>
          <w:szCs w:val="28"/>
        </w:rPr>
        <w:t>PROJEKTS</w:t>
      </w:r>
    </w:p>
    <w:p w14:paraId="1A0D2F8C" w14:textId="77777777" w:rsidR="00A36853" w:rsidRDefault="00A36853" w:rsidP="00CC149A">
      <w:pPr>
        <w:pStyle w:val="Title"/>
        <w:rPr>
          <w:b/>
          <w:sz w:val="24"/>
          <w:szCs w:val="24"/>
        </w:rPr>
      </w:pPr>
    </w:p>
    <w:p w14:paraId="59BD9E52" w14:textId="6F2C8592" w:rsidR="00BD6FC7" w:rsidRPr="006F6475" w:rsidRDefault="00CC149A" w:rsidP="00CC149A">
      <w:pPr>
        <w:pStyle w:val="Title"/>
        <w:rPr>
          <w:b/>
          <w:sz w:val="24"/>
          <w:szCs w:val="24"/>
        </w:rPr>
      </w:pPr>
      <w:r w:rsidRPr="006F6475">
        <w:rPr>
          <w:b/>
          <w:sz w:val="24"/>
          <w:szCs w:val="24"/>
        </w:rPr>
        <w:t>KONFIDENCIALITĀTES LĪGUMS</w:t>
      </w:r>
    </w:p>
    <w:p w14:paraId="5A6F8654" w14:textId="77777777" w:rsidR="00BD6FC7" w:rsidRPr="006F6475" w:rsidRDefault="00BD6FC7">
      <w:pPr>
        <w:spacing w:after="60"/>
        <w:jc w:val="both"/>
        <w:rPr>
          <w:rFonts w:ascii="Times New Roman" w:hAnsi="Times New Roman"/>
          <w:szCs w:val="24"/>
        </w:rPr>
      </w:pPr>
    </w:p>
    <w:tbl>
      <w:tblPr>
        <w:tblW w:w="0" w:type="auto"/>
        <w:tblLook w:val="04A0" w:firstRow="1" w:lastRow="0" w:firstColumn="1" w:lastColumn="0" w:noHBand="0" w:noVBand="1"/>
      </w:tblPr>
      <w:tblGrid>
        <w:gridCol w:w="4248"/>
        <w:gridCol w:w="5482"/>
      </w:tblGrid>
      <w:tr w:rsidR="00087BD9" w:rsidRPr="006F6475" w14:paraId="4EBE6DE7" w14:textId="77777777" w:rsidTr="00C01721">
        <w:tc>
          <w:tcPr>
            <w:tcW w:w="4248" w:type="dxa"/>
          </w:tcPr>
          <w:p w14:paraId="03813CDB" w14:textId="77777777" w:rsidR="00087BD9" w:rsidRPr="006F6475" w:rsidRDefault="00087BD9" w:rsidP="00C01721">
            <w:pPr>
              <w:pStyle w:val="Title"/>
              <w:spacing w:after="120"/>
              <w:contextualSpacing/>
              <w:jc w:val="both"/>
              <w:rPr>
                <w:sz w:val="24"/>
                <w:szCs w:val="24"/>
              </w:rPr>
            </w:pPr>
            <w:r w:rsidRPr="006F6475">
              <w:rPr>
                <w:position w:val="-1"/>
                <w:sz w:val="24"/>
                <w:szCs w:val="24"/>
              </w:rPr>
              <w:t>Rīgā</w:t>
            </w:r>
          </w:p>
        </w:tc>
        <w:tc>
          <w:tcPr>
            <w:tcW w:w="5482" w:type="dxa"/>
          </w:tcPr>
          <w:p w14:paraId="10084619" w14:textId="77777777" w:rsidR="00087BD9" w:rsidRPr="006F6475" w:rsidRDefault="00087BD9" w:rsidP="00C01721">
            <w:pPr>
              <w:tabs>
                <w:tab w:val="left" w:pos="10348"/>
              </w:tabs>
              <w:ind w:hanging="720"/>
              <w:jc w:val="right"/>
              <w:rPr>
                <w:rFonts w:ascii="Times New Roman" w:hAnsi="Times New Roman"/>
                <w:i/>
                <w:iCs/>
                <w:position w:val="-1"/>
                <w:szCs w:val="24"/>
              </w:rPr>
            </w:pPr>
            <w:r w:rsidRPr="006F6475">
              <w:rPr>
                <w:rFonts w:ascii="Times New Roman" w:hAnsi="Times New Roman"/>
                <w:i/>
                <w:iCs/>
                <w:position w:val="-1"/>
                <w:szCs w:val="24"/>
              </w:rPr>
              <w:t>Līguma parakstīšanas datums ir</w:t>
            </w:r>
          </w:p>
          <w:p w14:paraId="2875EAD3" w14:textId="177D6C97" w:rsidR="00087BD9" w:rsidRPr="006F6475" w:rsidRDefault="001B0F6F" w:rsidP="00C01721">
            <w:pPr>
              <w:pStyle w:val="Title"/>
              <w:spacing w:after="120"/>
              <w:contextualSpacing/>
              <w:jc w:val="right"/>
              <w:rPr>
                <w:i/>
                <w:iCs/>
                <w:sz w:val="24"/>
                <w:szCs w:val="24"/>
              </w:rPr>
            </w:pPr>
            <w:r w:rsidRPr="006F6475">
              <w:rPr>
                <w:i/>
                <w:iCs/>
                <w:position w:val="-1"/>
                <w:sz w:val="24"/>
                <w:szCs w:val="24"/>
              </w:rPr>
              <w:t xml:space="preserve">pēdējā </w:t>
            </w:r>
            <w:r w:rsidR="00087BD9" w:rsidRPr="006F6475">
              <w:rPr>
                <w:i/>
                <w:iCs/>
                <w:position w:val="-1"/>
                <w:sz w:val="24"/>
                <w:szCs w:val="24"/>
              </w:rPr>
              <w:t>droša elektroniskā paraksta un laika zīmoga datums</w:t>
            </w:r>
          </w:p>
        </w:tc>
      </w:tr>
    </w:tbl>
    <w:p w14:paraId="7A8B1B2B" w14:textId="77777777" w:rsidR="00087BD9" w:rsidRPr="006F6475" w:rsidRDefault="00087BD9" w:rsidP="00087BD9">
      <w:pPr>
        <w:tabs>
          <w:tab w:val="left" w:pos="1360"/>
          <w:tab w:val="left" w:pos="3580"/>
          <w:tab w:val="left" w:pos="8700"/>
          <w:tab w:val="left" w:pos="10100"/>
        </w:tabs>
        <w:spacing w:after="120"/>
        <w:ind w:right="64" w:hanging="720"/>
        <w:contextualSpacing/>
        <w:jc w:val="both"/>
        <w:rPr>
          <w:rFonts w:ascii="Times New Roman" w:hAnsi="Times New Roman"/>
          <w:b/>
          <w:bCs/>
          <w:szCs w:val="24"/>
        </w:rPr>
      </w:pPr>
      <w:r w:rsidRPr="006F6475">
        <w:rPr>
          <w:rFonts w:ascii="Times New Roman" w:hAnsi="Times New Roman"/>
          <w:b/>
          <w:bCs/>
          <w:szCs w:val="24"/>
        </w:rPr>
        <w:tab/>
      </w:r>
    </w:p>
    <w:p w14:paraId="6C7EE743" w14:textId="77777777" w:rsidR="002A3905" w:rsidRPr="006F6475" w:rsidRDefault="00087BD9" w:rsidP="006F6475">
      <w:pPr>
        <w:tabs>
          <w:tab w:val="left" w:pos="1360"/>
          <w:tab w:val="left" w:pos="3580"/>
          <w:tab w:val="left" w:pos="8700"/>
          <w:tab w:val="left" w:pos="10100"/>
        </w:tabs>
        <w:ind w:right="64"/>
        <w:contextualSpacing/>
        <w:jc w:val="both"/>
        <w:rPr>
          <w:rFonts w:ascii="Times New Roman" w:hAnsi="Times New Roman"/>
          <w:szCs w:val="24"/>
        </w:rPr>
      </w:pPr>
      <w:r w:rsidRPr="006F6475">
        <w:rPr>
          <w:rFonts w:ascii="Times New Roman" w:hAnsi="Times New Roman"/>
          <w:b/>
          <w:bCs/>
          <w:szCs w:val="24"/>
        </w:rPr>
        <w:t xml:space="preserve">SIA </w:t>
      </w:r>
      <w:r w:rsidRPr="006F6475">
        <w:rPr>
          <w:rFonts w:ascii="Times New Roman" w:eastAsia="Arial Unicode MS" w:hAnsi="Times New Roman"/>
          <w:szCs w:val="24"/>
          <w:bdr w:val="nil"/>
        </w:rPr>
        <w:t>“</w:t>
      </w:r>
      <w:r w:rsidRPr="006F6475">
        <w:rPr>
          <w:rFonts w:ascii="Times New Roman" w:hAnsi="Times New Roman"/>
          <w:b/>
          <w:bCs/>
          <w:szCs w:val="24"/>
        </w:rPr>
        <w:t>Publisko aktīvu pārvaldītājs Possessor</w:t>
      </w:r>
      <w:r w:rsidRPr="006F6475">
        <w:rPr>
          <w:rFonts w:ascii="Times New Roman" w:eastAsia="Arial Unicode MS" w:hAnsi="Times New Roman"/>
          <w:szCs w:val="24"/>
          <w:bdr w:val="nil"/>
        </w:rPr>
        <w:t>”</w:t>
      </w:r>
      <w:r w:rsidRPr="006F6475">
        <w:rPr>
          <w:rFonts w:ascii="Times New Roman" w:hAnsi="Times New Roman"/>
          <w:szCs w:val="24"/>
        </w:rPr>
        <w:t xml:space="preserve">, reģistrācijas Nr. 40003192154, juridiskā adrese </w:t>
      </w:r>
      <w:r w:rsidR="002E4DA5" w:rsidRPr="006F6475">
        <w:rPr>
          <w:rFonts w:ascii="Times New Roman" w:hAnsi="Times New Roman"/>
          <w:szCs w:val="24"/>
        </w:rPr>
        <w:t xml:space="preserve">Krišjāņa Valdemāra </w:t>
      </w:r>
      <w:r w:rsidRPr="006F6475">
        <w:rPr>
          <w:rFonts w:ascii="Times New Roman" w:hAnsi="Times New Roman"/>
          <w:szCs w:val="24"/>
        </w:rPr>
        <w:t>iela 31, Rīga, LV – 1887 (turpmāk – P</w:t>
      </w:r>
      <w:r w:rsidR="002A3905" w:rsidRPr="006F6475">
        <w:rPr>
          <w:rFonts w:ascii="Times New Roman" w:hAnsi="Times New Roman"/>
          <w:szCs w:val="24"/>
        </w:rPr>
        <w:t>ossessor</w:t>
      </w:r>
      <w:r w:rsidRPr="006F6475">
        <w:rPr>
          <w:rFonts w:ascii="Times New Roman" w:hAnsi="Times New Roman"/>
          <w:szCs w:val="24"/>
        </w:rPr>
        <w:t xml:space="preserve">), kuru saskaņā ar [●] pārstāv </w:t>
      </w:r>
      <w:bookmarkStart w:id="0" w:name="_Hlk174024601"/>
      <w:r w:rsidRPr="006F6475">
        <w:rPr>
          <w:rFonts w:ascii="Times New Roman" w:eastAsia="Arial Unicode MS" w:hAnsi="Times New Roman"/>
          <w:iCs/>
          <w:szCs w:val="24"/>
          <w:bdr w:val="nil"/>
        </w:rPr>
        <w:t>[●]</w:t>
      </w:r>
      <w:bookmarkEnd w:id="0"/>
      <w:r w:rsidRPr="006F6475">
        <w:rPr>
          <w:rFonts w:ascii="Times New Roman" w:hAnsi="Times New Roman"/>
          <w:szCs w:val="24"/>
        </w:rPr>
        <w:t>, no vienas puses</w:t>
      </w:r>
      <w:r w:rsidR="001B0F6F" w:rsidRPr="006F6475">
        <w:rPr>
          <w:rFonts w:ascii="Times New Roman" w:hAnsi="Times New Roman"/>
          <w:szCs w:val="24"/>
        </w:rPr>
        <w:t>,</w:t>
      </w:r>
      <w:r w:rsidRPr="006F6475">
        <w:rPr>
          <w:rFonts w:ascii="Times New Roman" w:hAnsi="Times New Roman"/>
          <w:szCs w:val="24"/>
        </w:rPr>
        <w:t xml:space="preserve"> </w:t>
      </w:r>
    </w:p>
    <w:p w14:paraId="459E422C" w14:textId="7D9F8A05" w:rsidR="00087BD9" w:rsidRPr="006F6475" w:rsidRDefault="00087BD9" w:rsidP="006F6475">
      <w:pPr>
        <w:tabs>
          <w:tab w:val="left" w:pos="1360"/>
          <w:tab w:val="left" w:pos="3580"/>
          <w:tab w:val="left" w:pos="8700"/>
          <w:tab w:val="left" w:pos="10100"/>
        </w:tabs>
        <w:ind w:right="64"/>
        <w:contextualSpacing/>
        <w:jc w:val="both"/>
        <w:rPr>
          <w:rFonts w:ascii="Times New Roman" w:hAnsi="Times New Roman"/>
          <w:szCs w:val="24"/>
        </w:rPr>
      </w:pPr>
      <w:r w:rsidRPr="006F6475">
        <w:rPr>
          <w:rFonts w:ascii="Times New Roman" w:hAnsi="Times New Roman"/>
          <w:szCs w:val="24"/>
        </w:rPr>
        <w:t>un</w:t>
      </w:r>
    </w:p>
    <w:p w14:paraId="6B9EB5B3" w14:textId="54E2BE4D" w:rsidR="004F028B" w:rsidRPr="004F028B" w:rsidRDefault="003C1AF8" w:rsidP="006F6475">
      <w:pPr>
        <w:tabs>
          <w:tab w:val="left" w:pos="0"/>
          <w:tab w:val="left" w:pos="3580"/>
          <w:tab w:val="left" w:pos="8700"/>
          <w:tab w:val="left" w:pos="10100"/>
        </w:tabs>
        <w:ind w:right="62"/>
        <w:jc w:val="both"/>
        <w:rPr>
          <w:rFonts w:ascii="Times New Roman" w:hAnsi="Times New Roman"/>
          <w:szCs w:val="24"/>
        </w:rPr>
      </w:pPr>
      <w:bookmarkStart w:id="1" w:name="_Hlk161153969"/>
      <w:r>
        <w:rPr>
          <w:rFonts w:ascii="Times New Roman" w:eastAsia="Arial Unicode MS" w:hAnsi="Times New Roman"/>
          <w:b/>
          <w:bCs/>
          <w:szCs w:val="24"/>
          <w:bdr w:val="nil"/>
        </w:rPr>
        <w:t>Fiziska persona</w:t>
      </w:r>
      <w:r w:rsidR="004F028B">
        <w:rPr>
          <w:rFonts w:ascii="Times New Roman" w:eastAsia="Arial Unicode MS" w:hAnsi="Times New Roman"/>
          <w:b/>
          <w:bCs/>
          <w:szCs w:val="24"/>
          <w:bdr w:val="nil"/>
        </w:rPr>
        <w:t xml:space="preserve"> </w:t>
      </w:r>
      <w:r w:rsidR="004F028B" w:rsidRPr="006F6475">
        <w:rPr>
          <w:rFonts w:ascii="Times New Roman" w:eastAsia="Arial Unicode MS" w:hAnsi="Times New Roman"/>
          <w:b/>
          <w:bCs/>
          <w:szCs w:val="24"/>
          <w:bdr w:val="nil"/>
        </w:rPr>
        <w:t>[●]</w:t>
      </w:r>
      <w:r>
        <w:rPr>
          <w:rFonts w:ascii="Times New Roman" w:eastAsia="Arial Unicode MS" w:hAnsi="Times New Roman"/>
          <w:b/>
          <w:bCs/>
          <w:szCs w:val="24"/>
          <w:bdr w:val="nil"/>
        </w:rPr>
        <w:t xml:space="preserve">, </w:t>
      </w:r>
      <w:r w:rsidRPr="004F028B">
        <w:rPr>
          <w:rFonts w:ascii="Times New Roman" w:eastAsia="Arial Unicode MS" w:hAnsi="Times New Roman"/>
          <w:szCs w:val="24"/>
          <w:bdr w:val="nil"/>
        </w:rPr>
        <w:t>personas kods</w:t>
      </w:r>
      <w:r w:rsidRPr="006F6475">
        <w:rPr>
          <w:rFonts w:ascii="Times New Roman" w:eastAsia="Arial Unicode MS" w:hAnsi="Times New Roman"/>
          <w:b/>
          <w:bCs/>
          <w:szCs w:val="24"/>
          <w:bdr w:val="nil"/>
        </w:rPr>
        <w:t xml:space="preserve"> </w:t>
      </w:r>
      <w:r w:rsidR="00087BD9" w:rsidRPr="006F6475">
        <w:rPr>
          <w:rFonts w:ascii="Times New Roman" w:eastAsia="Arial Unicode MS" w:hAnsi="Times New Roman"/>
          <w:b/>
          <w:bCs/>
          <w:szCs w:val="24"/>
          <w:bdr w:val="nil"/>
        </w:rPr>
        <w:t>[●]</w:t>
      </w:r>
      <w:bookmarkEnd w:id="1"/>
      <w:r w:rsidR="004F028B">
        <w:rPr>
          <w:rFonts w:ascii="Times New Roman" w:eastAsia="Arial Unicode MS" w:hAnsi="Times New Roman"/>
          <w:b/>
          <w:bCs/>
          <w:szCs w:val="24"/>
          <w:bdr w:val="nil"/>
        </w:rPr>
        <w:t xml:space="preserve">, </w:t>
      </w:r>
      <w:r w:rsidR="004F028B" w:rsidRPr="004F028B">
        <w:rPr>
          <w:rFonts w:ascii="Times New Roman" w:eastAsia="Arial Unicode MS" w:hAnsi="Times New Roman"/>
          <w:szCs w:val="24"/>
          <w:bdr w:val="nil"/>
        </w:rPr>
        <w:t>dzīvesvietas adrese</w:t>
      </w:r>
      <w:r w:rsidR="004F028B">
        <w:rPr>
          <w:rFonts w:ascii="Times New Roman" w:eastAsia="Arial Unicode MS" w:hAnsi="Times New Roman"/>
          <w:b/>
          <w:bCs/>
          <w:szCs w:val="24"/>
          <w:bdr w:val="nil"/>
        </w:rPr>
        <w:t xml:space="preserve"> </w:t>
      </w:r>
      <w:r w:rsidR="004F028B" w:rsidRPr="006F6475">
        <w:rPr>
          <w:rFonts w:ascii="Times New Roman" w:eastAsia="Arial Unicode MS" w:hAnsi="Times New Roman"/>
          <w:b/>
          <w:bCs/>
          <w:szCs w:val="24"/>
          <w:bdr w:val="nil"/>
        </w:rPr>
        <w:t>[●]</w:t>
      </w:r>
      <w:r w:rsidR="004F028B" w:rsidRPr="006F6475">
        <w:rPr>
          <w:rFonts w:ascii="Times New Roman" w:hAnsi="Times New Roman"/>
          <w:szCs w:val="24"/>
        </w:rPr>
        <w:t xml:space="preserve">(turpmāk – </w:t>
      </w:r>
      <w:r w:rsidR="004F028B">
        <w:rPr>
          <w:rFonts w:ascii="Times New Roman" w:hAnsi="Times New Roman"/>
          <w:szCs w:val="24"/>
        </w:rPr>
        <w:t>Persona</w:t>
      </w:r>
      <w:r w:rsidR="004F028B">
        <w:rPr>
          <w:rFonts w:ascii="Times New Roman" w:hAnsi="Times New Roman"/>
          <w:b/>
          <w:bCs/>
          <w:szCs w:val="24"/>
        </w:rPr>
        <w:t xml:space="preserve">), </w:t>
      </w:r>
      <w:r w:rsidR="004F028B" w:rsidRPr="004F028B">
        <w:rPr>
          <w:rFonts w:ascii="Times New Roman" w:hAnsi="Times New Roman"/>
          <w:szCs w:val="24"/>
        </w:rPr>
        <w:t xml:space="preserve">no </w:t>
      </w:r>
      <w:r w:rsidR="004F028B">
        <w:rPr>
          <w:rFonts w:ascii="Times New Roman" w:hAnsi="Times New Roman"/>
          <w:szCs w:val="24"/>
        </w:rPr>
        <w:t xml:space="preserve">otras </w:t>
      </w:r>
      <w:r w:rsidR="004F028B" w:rsidRPr="004F028B">
        <w:rPr>
          <w:rFonts w:ascii="Times New Roman" w:hAnsi="Times New Roman"/>
          <w:szCs w:val="24"/>
        </w:rPr>
        <w:t>puses,</w:t>
      </w:r>
    </w:p>
    <w:p w14:paraId="24373540" w14:textId="6812EB3D" w:rsidR="004F028B" w:rsidRPr="00BA5704" w:rsidRDefault="004F028B" w:rsidP="006F6475">
      <w:pPr>
        <w:tabs>
          <w:tab w:val="left" w:pos="0"/>
          <w:tab w:val="left" w:pos="3580"/>
          <w:tab w:val="left" w:pos="8700"/>
          <w:tab w:val="left" w:pos="10100"/>
        </w:tabs>
        <w:ind w:right="62"/>
        <w:jc w:val="both"/>
        <w:rPr>
          <w:rFonts w:ascii="Times New Roman" w:hAnsi="Times New Roman"/>
          <w:i/>
          <w:iCs/>
          <w:szCs w:val="24"/>
        </w:rPr>
      </w:pPr>
      <w:r w:rsidRPr="00BA5704">
        <w:rPr>
          <w:rFonts w:ascii="Times New Roman" w:hAnsi="Times New Roman"/>
          <w:i/>
          <w:iCs/>
          <w:szCs w:val="24"/>
        </w:rPr>
        <w:t xml:space="preserve">vai </w:t>
      </w:r>
    </w:p>
    <w:p w14:paraId="60F8975F" w14:textId="77777777" w:rsidR="004F028B" w:rsidRDefault="004F028B" w:rsidP="006F6475">
      <w:pPr>
        <w:tabs>
          <w:tab w:val="left" w:pos="0"/>
          <w:tab w:val="left" w:pos="3580"/>
          <w:tab w:val="left" w:pos="8700"/>
          <w:tab w:val="left" w:pos="10100"/>
        </w:tabs>
        <w:ind w:right="62"/>
        <w:jc w:val="both"/>
        <w:rPr>
          <w:rFonts w:ascii="Times New Roman" w:hAnsi="Times New Roman"/>
          <w:szCs w:val="24"/>
        </w:rPr>
      </w:pPr>
      <w:r>
        <w:rPr>
          <w:rFonts w:ascii="Times New Roman" w:hAnsi="Times New Roman"/>
          <w:b/>
          <w:bCs/>
          <w:szCs w:val="24"/>
        </w:rPr>
        <w:t xml:space="preserve">Juridiska persona, </w:t>
      </w:r>
      <w:r w:rsidR="00087BD9" w:rsidRPr="006F6475">
        <w:rPr>
          <w:rFonts w:ascii="Times New Roman" w:hAnsi="Times New Roman"/>
          <w:szCs w:val="24"/>
        </w:rPr>
        <w:t xml:space="preserve">reģistrācijas Nr. [●], juridiskā adrese [●] (turpmāk – </w:t>
      </w:r>
      <w:r>
        <w:rPr>
          <w:rFonts w:ascii="Times New Roman" w:hAnsi="Times New Roman"/>
          <w:szCs w:val="24"/>
        </w:rPr>
        <w:t>Persona/</w:t>
      </w:r>
      <w:r w:rsidR="007E744C" w:rsidRPr="006F6475">
        <w:rPr>
          <w:rFonts w:ascii="Times New Roman" w:hAnsi="Times New Roman"/>
          <w:szCs w:val="24"/>
        </w:rPr>
        <w:t>Sabiedrība</w:t>
      </w:r>
      <w:r w:rsidR="00087BD9" w:rsidRPr="006F6475">
        <w:rPr>
          <w:rFonts w:ascii="Times New Roman" w:hAnsi="Times New Roman"/>
          <w:szCs w:val="24"/>
        </w:rPr>
        <w:t xml:space="preserve">), kuru saskaņā ar [●] pārstāv </w:t>
      </w:r>
      <w:r w:rsidR="00087BD9" w:rsidRPr="006F6475">
        <w:rPr>
          <w:rFonts w:ascii="Times New Roman" w:eastAsia="Arial Unicode MS" w:hAnsi="Times New Roman"/>
          <w:iCs/>
          <w:szCs w:val="24"/>
          <w:bdr w:val="nil"/>
        </w:rPr>
        <w:t>[●]</w:t>
      </w:r>
      <w:r w:rsidR="00087BD9" w:rsidRPr="006F6475">
        <w:rPr>
          <w:rFonts w:ascii="Times New Roman" w:hAnsi="Times New Roman"/>
          <w:szCs w:val="24"/>
        </w:rPr>
        <w:t xml:space="preserve">, no otras puses, </w:t>
      </w:r>
    </w:p>
    <w:p w14:paraId="40EECED2" w14:textId="7C7BA4CA" w:rsidR="001B0F6F" w:rsidRPr="006F6475" w:rsidRDefault="00087BD9" w:rsidP="006F6475">
      <w:pPr>
        <w:tabs>
          <w:tab w:val="left" w:pos="0"/>
          <w:tab w:val="left" w:pos="3580"/>
          <w:tab w:val="left" w:pos="8700"/>
          <w:tab w:val="left" w:pos="10100"/>
        </w:tabs>
        <w:ind w:right="62"/>
        <w:jc w:val="both"/>
        <w:rPr>
          <w:rFonts w:ascii="Times New Roman" w:hAnsi="Times New Roman"/>
          <w:szCs w:val="24"/>
        </w:rPr>
      </w:pPr>
      <w:r w:rsidRPr="006F6475">
        <w:rPr>
          <w:rFonts w:ascii="Times New Roman" w:hAnsi="Times New Roman"/>
          <w:szCs w:val="24"/>
        </w:rPr>
        <w:t xml:space="preserve">turpmāk </w:t>
      </w:r>
      <w:r w:rsidR="007E744C" w:rsidRPr="006F6475">
        <w:rPr>
          <w:rFonts w:ascii="Times New Roman" w:hAnsi="Times New Roman"/>
          <w:szCs w:val="24"/>
        </w:rPr>
        <w:t>Possessor</w:t>
      </w:r>
      <w:r w:rsidR="001B0F6F" w:rsidRPr="006F6475">
        <w:rPr>
          <w:rFonts w:ascii="Times New Roman" w:hAnsi="Times New Roman"/>
          <w:szCs w:val="24"/>
        </w:rPr>
        <w:t xml:space="preserve"> un </w:t>
      </w:r>
      <w:r w:rsidR="004F028B">
        <w:rPr>
          <w:rFonts w:ascii="Times New Roman" w:hAnsi="Times New Roman"/>
          <w:szCs w:val="24"/>
        </w:rPr>
        <w:t>Persona</w:t>
      </w:r>
      <w:r w:rsidR="00BA5704">
        <w:rPr>
          <w:rFonts w:ascii="Times New Roman" w:hAnsi="Times New Roman"/>
          <w:szCs w:val="24"/>
        </w:rPr>
        <w:t>/</w:t>
      </w:r>
      <w:r w:rsidR="007E744C" w:rsidRPr="006F6475">
        <w:rPr>
          <w:rFonts w:ascii="Times New Roman" w:hAnsi="Times New Roman"/>
          <w:szCs w:val="24"/>
        </w:rPr>
        <w:t>Sabiedrība</w:t>
      </w:r>
      <w:r w:rsidR="004F028B">
        <w:rPr>
          <w:rFonts w:ascii="Times New Roman" w:hAnsi="Times New Roman"/>
          <w:szCs w:val="24"/>
        </w:rPr>
        <w:t xml:space="preserve"> </w:t>
      </w:r>
      <w:r w:rsidRPr="006F6475">
        <w:rPr>
          <w:rFonts w:ascii="Times New Roman" w:hAnsi="Times New Roman"/>
          <w:szCs w:val="24"/>
        </w:rPr>
        <w:t xml:space="preserve">kopā – Puses, </w:t>
      </w:r>
      <w:r w:rsidR="001B0F6F" w:rsidRPr="006F6475">
        <w:rPr>
          <w:rFonts w:ascii="Times New Roman" w:hAnsi="Times New Roman"/>
          <w:szCs w:val="24"/>
        </w:rPr>
        <w:t xml:space="preserve">katrs atsevišķi arī – Puse, </w:t>
      </w:r>
    </w:p>
    <w:p w14:paraId="12548B73" w14:textId="5FA0384E" w:rsidR="00352E61" w:rsidRPr="006F6475" w:rsidRDefault="007D4FAA" w:rsidP="006F6475">
      <w:pPr>
        <w:tabs>
          <w:tab w:val="left" w:pos="0"/>
          <w:tab w:val="left" w:pos="3580"/>
          <w:tab w:val="left" w:pos="8700"/>
          <w:tab w:val="left" w:pos="10100"/>
        </w:tabs>
        <w:ind w:right="62"/>
        <w:jc w:val="both"/>
        <w:rPr>
          <w:rFonts w:ascii="Times New Roman" w:hAnsi="Times New Roman"/>
          <w:bCs/>
          <w:i/>
          <w:iCs/>
          <w:szCs w:val="24"/>
          <w:lang w:val="et-EE"/>
        </w:rPr>
      </w:pPr>
      <w:r w:rsidRPr="006F6475">
        <w:rPr>
          <w:rFonts w:ascii="Times New Roman" w:hAnsi="Times New Roman"/>
          <w:bCs/>
          <w:i/>
          <w:iCs/>
          <w:szCs w:val="24"/>
          <w:lang w:val="et-EE"/>
        </w:rPr>
        <w:t>ņ</w:t>
      </w:r>
      <w:r w:rsidR="00352E61" w:rsidRPr="006F6475">
        <w:rPr>
          <w:rFonts w:ascii="Times New Roman" w:hAnsi="Times New Roman"/>
          <w:bCs/>
          <w:i/>
          <w:iCs/>
          <w:szCs w:val="24"/>
          <w:lang w:val="et-EE"/>
        </w:rPr>
        <w:t>emot vērā</w:t>
      </w:r>
      <w:r w:rsidR="00F97A01" w:rsidRPr="006F6475">
        <w:rPr>
          <w:rFonts w:ascii="Times New Roman" w:hAnsi="Times New Roman"/>
          <w:bCs/>
          <w:i/>
          <w:iCs/>
          <w:szCs w:val="24"/>
          <w:lang w:val="et-EE"/>
        </w:rPr>
        <w:t>, ka:</w:t>
      </w:r>
      <w:r w:rsidR="001C43E5" w:rsidRPr="006F6475">
        <w:rPr>
          <w:rFonts w:ascii="Times New Roman" w:hAnsi="Times New Roman"/>
          <w:bCs/>
          <w:i/>
          <w:iCs/>
          <w:szCs w:val="24"/>
          <w:lang w:val="et-EE"/>
        </w:rPr>
        <w:t xml:space="preserve"> </w:t>
      </w:r>
    </w:p>
    <w:p w14:paraId="569CB341" w14:textId="4D3BC049" w:rsidR="007D4FAA" w:rsidRPr="006F6475" w:rsidRDefault="00F97A01" w:rsidP="00BA5704">
      <w:pPr>
        <w:pStyle w:val="ListParagraph"/>
        <w:numPr>
          <w:ilvl w:val="0"/>
          <w:numId w:val="12"/>
        </w:numPr>
        <w:tabs>
          <w:tab w:val="left" w:pos="0"/>
        </w:tabs>
        <w:ind w:left="714" w:right="62" w:hanging="357"/>
        <w:contextualSpacing/>
        <w:jc w:val="both"/>
        <w:rPr>
          <w:rFonts w:ascii="Times New Roman" w:hAnsi="Times New Roman"/>
          <w:szCs w:val="24"/>
        </w:rPr>
      </w:pPr>
      <w:r w:rsidRPr="006F6475">
        <w:rPr>
          <w:rFonts w:ascii="Times New Roman" w:hAnsi="Times New Roman"/>
          <w:szCs w:val="24"/>
        </w:rPr>
        <w:t>P</w:t>
      </w:r>
      <w:r w:rsidR="00883B0E" w:rsidRPr="006F6475">
        <w:rPr>
          <w:rFonts w:ascii="Times New Roman" w:hAnsi="Times New Roman"/>
          <w:szCs w:val="24"/>
        </w:rPr>
        <w:t>ossessor</w:t>
      </w:r>
      <w:r w:rsidRPr="006F6475">
        <w:rPr>
          <w:rFonts w:ascii="Times New Roman" w:hAnsi="Times New Roman"/>
          <w:szCs w:val="24"/>
        </w:rPr>
        <w:t xml:space="preserve"> pilda tam deleģētus valsts pārvaldes uzdevumus, </w:t>
      </w:r>
      <w:r w:rsidR="007D4FAA" w:rsidRPr="006F6475">
        <w:rPr>
          <w:rFonts w:ascii="Times New Roman" w:hAnsi="Times New Roman"/>
          <w:szCs w:val="24"/>
        </w:rPr>
        <w:t>tai skaitā nodrošina profesionālu valsts kapitāla daļu un problemātisko aktīvu pārvaldību</w:t>
      </w:r>
      <w:r w:rsidR="007B7998" w:rsidRPr="006F6475">
        <w:rPr>
          <w:rFonts w:ascii="Times New Roman" w:hAnsi="Times New Roman"/>
          <w:szCs w:val="24"/>
        </w:rPr>
        <w:t>;</w:t>
      </w:r>
      <w:r w:rsidR="007D4FAA" w:rsidRPr="006F6475">
        <w:rPr>
          <w:rFonts w:ascii="Times New Roman" w:hAnsi="Times New Roman"/>
          <w:szCs w:val="24"/>
        </w:rPr>
        <w:t xml:space="preserve"> </w:t>
      </w:r>
    </w:p>
    <w:p w14:paraId="45B99F2D" w14:textId="1EF3E490" w:rsidR="00D02EE7" w:rsidRPr="006F6475" w:rsidRDefault="00071536" w:rsidP="00BA5704">
      <w:pPr>
        <w:pStyle w:val="ListParagraph"/>
        <w:numPr>
          <w:ilvl w:val="0"/>
          <w:numId w:val="12"/>
        </w:numPr>
        <w:tabs>
          <w:tab w:val="left" w:pos="0"/>
        </w:tabs>
        <w:ind w:left="714" w:right="62" w:hanging="357"/>
        <w:contextualSpacing/>
        <w:jc w:val="both"/>
        <w:rPr>
          <w:rFonts w:ascii="Times New Roman" w:hAnsi="Times New Roman"/>
          <w:szCs w:val="24"/>
        </w:rPr>
      </w:pPr>
      <w:r w:rsidRPr="006F6475">
        <w:rPr>
          <w:rFonts w:ascii="Times New Roman" w:hAnsi="Times New Roman"/>
          <w:szCs w:val="24"/>
        </w:rPr>
        <w:t xml:space="preserve">ar Daugavpils </w:t>
      </w:r>
      <w:proofErr w:type="spellStart"/>
      <w:r w:rsidRPr="006F6475">
        <w:rPr>
          <w:rFonts w:ascii="Times New Roman" w:hAnsi="Times New Roman"/>
          <w:szCs w:val="24"/>
        </w:rPr>
        <w:t>valstspilsētas</w:t>
      </w:r>
      <w:proofErr w:type="spellEnd"/>
      <w:r w:rsidRPr="006F6475">
        <w:rPr>
          <w:rFonts w:ascii="Times New Roman" w:hAnsi="Times New Roman"/>
          <w:szCs w:val="24"/>
        </w:rPr>
        <w:t xml:space="preserve"> pašvaldības domes 2024.gada 20.februāra lēmumu Nr. 81 (prot.  Nr. 4, 11.§) “Par Daugavpils </w:t>
      </w:r>
      <w:proofErr w:type="spellStart"/>
      <w:r w:rsidRPr="006F6475">
        <w:rPr>
          <w:rFonts w:ascii="Times New Roman" w:hAnsi="Times New Roman"/>
          <w:szCs w:val="24"/>
        </w:rPr>
        <w:t>valstspilsētas</w:t>
      </w:r>
      <w:proofErr w:type="spellEnd"/>
      <w:r w:rsidRPr="006F6475">
        <w:rPr>
          <w:rFonts w:ascii="Times New Roman" w:hAnsi="Times New Roman"/>
          <w:szCs w:val="24"/>
        </w:rPr>
        <w:t xml:space="preserve"> pašvaldības līdzdalības izbeigšanu sabiedrībā ar ierobežotu atbildību “Daugavpils autobusu parks”” nolemts izbeigt līdzdalību sabiedrībā ar ierobežotu atbildību “Daugavpils autobusu parks”, </w:t>
      </w:r>
      <w:proofErr w:type="spellStart"/>
      <w:r w:rsidRPr="006F6475">
        <w:rPr>
          <w:rFonts w:ascii="Times New Roman" w:hAnsi="Times New Roman"/>
          <w:szCs w:val="24"/>
        </w:rPr>
        <w:t>reģ</w:t>
      </w:r>
      <w:proofErr w:type="spellEnd"/>
      <w:r w:rsidRPr="006F6475">
        <w:rPr>
          <w:rFonts w:ascii="Times New Roman" w:hAnsi="Times New Roman"/>
          <w:szCs w:val="24"/>
        </w:rPr>
        <w:t>. Nr.41503007196 (turpmāk – Kapitālsabiedrība), un organizēt kapitāla daļu atsavināšanu</w:t>
      </w:r>
      <w:r w:rsidR="007F67EA" w:rsidRPr="006F6475">
        <w:rPr>
          <w:rFonts w:ascii="Times New Roman" w:hAnsi="Times New Roman"/>
          <w:szCs w:val="24"/>
        </w:rPr>
        <w:t>,</w:t>
      </w:r>
    </w:p>
    <w:p w14:paraId="30D08F47" w14:textId="35FA7A7C" w:rsidR="00E872FC" w:rsidRPr="006F6475" w:rsidRDefault="00E872FC" w:rsidP="00BA5704">
      <w:pPr>
        <w:pStyle w:val="ListParagraph"/>
        <w:numPr>
          <w:ilvl w:val="0"/>
          <w:numId w:val="12"/>
        </w:numPr>
        <w:tabs>
          <w:tab w:val="left" w:pos="0"/>
        </w:tabs>
        <w:ind w:left="714" w:right="62" w:hanging="357"/>
        <w:contextualSpacing/>
        <w:jc w:val="both"/>
        <w:rPr>
          <w:rFonts w:ascii="Times New Roman" w:hAnsi="Times New Roman"/>
          <w:szCs w:val="24"/>
        </w:rPr>
      </w:pPr>
      <w:r w:rsidRPr="006F6475">
        <w:rPr>
          <w:rFonts w:ascii="Times New Roman" w:hAnsi="Times New Roman"/>
          <w:szCs w:val="24"/>
        </w:rPr>
        <w:t xml:space="preserve">ar </w:t>
      </w:r>
      <w:r w:rsidR="00011EB8" w:rsidRPr="006F6475">
        <w:rPr>
          <w:rFonts w:ascii="Times New Roman" w:hAnsi="Times New Roman"/>
          <w:szCs w:val="24"/>
        </w:rPr>
        <w:t xml:space="preserve">Daugavpils </w:t>
      </w:r>
      <w:proofErr w:type="spellStart"/>
      <w:r w:rsidR="00011EB8" w:rsidRPr="006F6475">
        <w:rPr>
          <w:rFonts w:ascii="Times New Roman" w:hAnsi="Times New Roman"/>
          <w:szCs w:val="24"/>
        </w:rPr>
        <w:t>valstspilsētas</w:t>
      </w:r>
      <w:proofErr w:type="spellEnd"/>
      <w:r w:rsidR="00011EB8" w:rsidRPr="006F6475">
        <w:rPr>
          <w:rFonts w:ascii="Times New Roman" w:hAnsi="Times New Roman"/>
          <w:szCs w:val="24"/>
        </w:rPr>
        <w:t xml:space="preserve"> pašvaldības </w:t>
      </w:r>
      <w:r w:rsidR="00A74922" w:rsidRPr="006F6475">
        <w:rPr>
          <w:rFonts w:ascii="Times New Roman" w:hAnsi="Times New Roman"/>
          <w:szCs w:val="24"/>
        </w:rPr>
        <w:t xml:space="preserve">2025.gada 16.oktobra </w:t>
      </w:r>
      <w:r w:rsidRPr="006F6475">
        <w:rPr>
          <w:rFonts w:ascii="Times New Roman" w:hAnsi="Times New Roman"/>
          <w:szCs w:val="24"/>
        </w:rPr>
        <w:t xml:space="preserve">lēmumu Nr.585 “Par Daugavpils </w:t>
      </w:r>
      <w:proofErr w:type="spellStart"/>
      <w:r w:rsidRPr="006F6475">
        <w:rPr>
          <w:rFonts w:ascii="Times New Roman" w:hAnsi="Times New Roman"/>
          <w:szCs w:val="24"/>
        </w:rPr>
        <w:t>valstspilsētas</w:t>
      </w:r>
      <w:proofErr w:type="spellEnd"/>
      <w:r w:rsidRPr="006F6475">
        <w:rPr>
          <w:rFonts w:ascii="Times New Roman" w:hAnsi="Times New Roman"/>
          <w:szCs w:val="24"/>
        </w:rPr>
        <w:t xml:space="preserve"> pašvaldībai piederošo kapitāla daļu pārdošanu sabiedrībā ar ierobežotu atbildību “Daugavpils autobusu parks” un pilnvarotās personas noteikšanu” ir apstiprinā</w:t>
      </w:r>
      <w:r w:rsidR="00011EB8" w:rsidRPr="006F6475">
        <w:rPr>
          <w:rFonts w:ascii="Times New Roman" w:hAnsi="Times New Roman"/>
          <w:szCs w:val="24"/>
        </w:rPr>
        <w:t>ts P</w:t>
      </w:r>
      <w:r w:rsidR="007B7998" w:rsidRPr="006F6475">
        <w:rPr>
          <w:rFonts w:ascii="Times New Roman" w:hAnsi="Times New Roman"/>
          <w:szCs w:val="24"/>
        </w:rPr>
        <w:t>ossessor</w:t>
      </w:r>
      <w:r w:rsidR="00011EB8" w:rsidRPr="006F6475">
        <w:rPr>
          <w:rFonts w:ascii="Times New Roman" w:hAnsi="Times New Roman"/>
          <w:szCs w:val="24"/>
        </w:rPr>
        <w:t xml:space="preserve"> </w:t>
      </w:r>
      <w:r w:rsidRPr="006F6475">
        <w:rPr>
          <w:rFonts w:ascii="Times New Roman" w:hAnsi="Times New Roman"/>
          <w:szCs w:val="24"/>
        </w:rPr>
        <w:t>sadarbības piedāvājum</w:t>
      </w:r>
      <w:r w:rsidR="00011EB8" w:rsidRPr="006F6475">
        <w:rPr>
          <w:rFonts w:ascii="Times New Roman" w:hAnsi="Times New Roman"/>
          <w:szCs w:val="24"/>
        </w:rPr>
        <w:t xml:space="preserve">s un </w:t>
      </w:r>
      <w:r w:rsidR="00316372" w:rsidRPr="006F6475">
        <w:rPr>
          <w:rFonts w:ascii="Times New Roman" w:hAnsi="Times New Roman"/>
          <w:szCs w:val="24"/>
        </w:rPr>
        <w:t xml:space="preserve">2025.gada 29.decembrī noslēgts </w:t>
      </w:r>
      <w:r w:rsidR="00683962" w:rsidRPr="006F6475">
        <w:rPr>
          <w:rFonts w:ascii="Times New Roman" w:hAnsi="Times New Roman"/>
          <w:szCs w:val="24"/>
        </w:rPr>
        <w:t>sadarbības līgums</w:t>
      </w:r>
      <w:r w:rsidR="004D3A77" w:rsidRPr="006F6475">
        <w:rPr>
          <w:rFonts w:ascii="Times New Roman" w:hAnsi="Times New Roman"/>
          <w:szCs w:val="24"/>
        </w:rPr>
        <w:t xml:space="preserve">, uzdodot Possessor organizēt </w:t>
      </w:r>
      <w:r w:rsidR="00C4571C" w:rsidRPr="006F6475">
        <w:rPr>
          <w:rFonts w:ascii="Times New Roman" w:hAnsi="Times New Roman"/>
          <w:szCs w:val="24"/>
        </w:rPr>
        <w:t xml:space="preserve">Daugavpils </w:t>
      </w:r>
      <w:proofErr w:type="spellStart"/>
      <w:r w:rsidR="00C4571C" w:rsidRPr="006F6475">
        <w:rPr>
          <w:rFonts w:ascii="Times New Roman" w:hAnsi="Times New Roman"/>
          <w:szCs w:val="24"/>
        </w:rPr>
        <w:t>valstspilsētas</w:t>
      </w:r>
      <w:proofErr w:type="spellEnd"/>
      <w:r w:rsidR="00C4571C" w:rsidRPr="006F6475">
        <w:rPr>
          <w:rFonts w:ascii="Times New Roman" w:hAnsi="Times New Roman"/>
          <w:szCs w:val="24"/>
        </w:rPr>
        <w:t xml:space="preserve"> pašvaldībai </w:t>
      </w:r>
      <w:r w:rsidR="00C15EC3" w:rsidRPr="006F6475">
        <w:rPr>
          <w:rFonts w:ascii="Times New Roman" w:hAnsi="Times New Roman"/>
          <w:szCs w:val="24"/>
        </w:rPr>
        <w:t xml:space="preserve">piederošo </w:t>
      </w:r>
      <w:r w:rsidR="00683962" w:rsidRPr="006F6475">
        <w:rPr>
          <w:rFonts w:ascii="Times New Roman" w:hAnsi="Times New Roman"/>
          <w:szCs w:val="24"/>
        </w:rPr>
        <w:t>Kapitālsabiedrības</w:t>
      </w:r>
      <w:r w:rsidR="00C15EC3" w:rsidRPr="006F6475">
        <w:rPr>
          <w:rFonts w:ascii="Times New Roman" w:hAnsi="Times New Roman"/>
          <w:szCs w:val="24"/>
        </w:rPr>
        <w:t xml:space="preserve"> 100% kapitāla daļu atsavināšanas proces</w:t>
      </w:r>
      <w:r w:rsidR="004D3A77" w:rsidRPr="006F6475">
        <w:rPr>
          <w:rFonts w:ascii="Times New Roman" w:hAnsi="Times New Roman"/>
          <w:szCs w:val="24"/>
        </w:rPr>
        <w:t>u</w:t>
      </w:r>
      <w:r w:rsidR="00661EFF" w:rsidRPr="006F6475">
        <w:rPr>
          <w:rFonts w:ascii="Times New Roman" w:hAnsi="Times New Roman"/>
          <w:szCs w:val="24"/>
        </w:rPr>
        <w:t>;</w:t>
      </w:r>
    </w:p>
    <w:p w14:paraId="2E6B6C04" w14:textId="296531B0" w:rsidR="00D17882" w:rsidRPr="006F6475" w:rsidRDefault="00D17882" w:rsidP="00BA5704">
      <w:pPr>
        <w:pStyle w:val="ListParagraph"/>
        <w:numPr>
          <w:ilvl w:val="0"/>
          <w:numId w:val="12"/>
        </w:numPr>
        <w:tabs>
          <w:tab w:val="left" w:pos="0"/>
        </w:tabs>
        <w:ind w:left="714" w:right="62" w:hanging="357"/>
        <w:contextualSpacing/>
        <w:jc w:val="both"/>
        <w:rPr>
          <w:rFonts w:ascii="Times New Roman" w:hAnsi="Times New Roman"/>
          <w:szCs w:val="24"/>
        </w:rPr>
      </w:pPr>
      <w:r w:rsidRPr="006F6475">
        <w:rPr>
          <w:rFonts w:ascii="Times New Roman" w:hAnsi="Times New Roman"/>
          <w:szCs w:val="24"/>
        </w:rPr>
        <w:t xml:space="preserve">lai nodrošinātu izsoles pretendentam iespēju izvērtēt izsoles priekšmetu, ir nepieciešams iepazīties ar Possessor rīcībā esošu noteikta veida informāciju par </w:t>
      </w:r>
      <w:r w:rsidR="001A62D0" w:rsidRPr="006F6475">
        <w:rPr>
          <w:rFonts w:ascii="Times New Roman" w:hAnsi="Times New Roman"/>
          <w:szCs w:val="24"/>
        </w:rPr>
        <w:t>Kapitālsabiedrību</w:t>
      </w:r>
      <w:r w:rsidRPr="006F6475">
        <w:rPr>
          <w:rFonts w:ascii="Times New Roman" w:hAnsi="Times New Roman"/>
          <w:szCs w:val="24"/>
        </w:rPr>
        <w:t>, kas uzskatāma par konfidenciālu informāciju;</w:t>
      </w:r>
    </w:p>
    <w:p w14:paraId="6A1B9271" w14:textId="77777777" w:rsidR="00D17882" w:rsidRPr="006F6475" w:rsidRDefault="00D17882" w:rsidP="00BA5704">
      <w:pPr>
        <w:pStyle w:val="ListParagraph"/>
        <w:numPr>
          <w:ilvl w:val="0"/>
          <w:numId w:val="12"/>
        </w:numPr>
        <w:tabs>
          <w:tab w:val="left" w:pos="0"/>
        </w:tabs>
        <w:ind w:left="714" w:right="62" w:hanging="357"/>
        <w:contextualSpacing/>
        <w:jc w:val="both"/>
        <w:rPr>
          <w:rFonts w:ascii="Times New Roman" w:hAnsi="Times New Roman"/>
          <w:szCs w:val="24"/>
        </w:rPr>
      </w:pPr>
      <w:r w:rsidRPr="006F6475">
        <w:rPr>
          <w:rFonts w:ascii="Times New Roman" w:hAnsi="Times New Roman"/>
          <w:szCs w:val="24"/>
        </w:rPr>
        <w:t>šī konfidencialitātes līguma izpratnē informācijas devējs (turpmāk – Informācijas devējs) ir puse, kura sniegs noteikta veida konfidenciālu informāciju, bet informācijas saņēmējs (turpmāk – Informācijas saņēmējs) ir puse, kura saņems konfidenciālo informāciju no Informācijas devēja,</w:t>
      </w:r>
    </w:p>
    <w:p w14:paraId="0371B2F2" w14:textId="47573002" w:rsidR="00D17882" w:rsidRPr="006F6475" w:rsidRDefault="006F6475" w:rsidP="00BA5704">
      <w:pPr>
        <w:jc w:val="both"/>
        <w:rPr>
          <w:rFonts w:ascii="Times New Roman" w:hAnsi="Times New Roman"/>
          <w:b/>
          <w:szCs w:val="24"/>
        </w:rPr>
      </w:pPr>
      <w:r w:rsidRPr="006F6475">
        <w:rPr>
          <w:rFonts w:ascii="Times New Roman" w:hAnsi="Times New Roman"/>
          <w:szCs w:val="24"/>
        </w:rPr>
        <w:t xml:space="preserve">Puses </w:t>
      </w:r>
      <w:r w:rsidR="00D17882" w:rsidRPr="006F6475">
        <w:rPr>
          <w:rFonts w:ascii="Times New Roman" w:hAnsi="Times New Roman"/>
          <w:szCs w:val="24"/>
        </w:rPr>
        <w:t>noslēdz šo līgumu par konfidenciālas informācijas neizpaušanu (turpmāk - Konfidencialitātes līgums):</w:t>
      </w:r>
    </w:p>
    <w:p w14:paraId="3BEA9254" w14:textId="77777777" w:rsidR="00D17882" w:rsidRPr="006F6475" w:rsidRDefault="00D17882" w:rsidP="00D17882">
      <w:pPr>
        <w:numPr>
          <w:ilvl w:val="0"/>
          <w:numId w:val="13"/>
        </w:numPr>
        <w:ind w:right="-383"/>
        <w:jc w:val="center"/>
        <w:rPr>
          <w:rFonts w:ascii="Times New Roman" w:hAnsi="Times New Roman"/>
          <w:b/>
          <w:szCs w:val="24"/>
        </w:rPr>
      </w:pPr>
      <w:r w:rsidRPr="006F6475">
        <w:rPr>
          <w:rFonts w:ascii="Times New Roman" w:hAnsi="Times New Roman"/>
          <w:b/>
          <w:szCs w:val="24"/>
        </w:rPr>
        <w:t>Konfidenciāla informācija</w:t>
      </w:r>
    </w:p>
    <w:p w14:paraId="30FC84FF" w14:textId="08C26D26" w:rsidR="00D17882" w:rsidRPr="006F6475" w:rsidRDefault="00D17882" w:rsidP="00BA5704">
      <w:pPr>
        <w:numPr>
          <w:ilvl w:val="1"/>
          <w:numId w:val="13"/>
        </w:numPr>
        <w:jc w:val="both"/>
        <w:rPr>
          <w:rFonts w:ascii="Times New Roman" w:hAnsi="Times New Roman"/>
          <w:szCs w:val="24"/>
        </w:rPr>
      </w:pPr>
      <w:r w:rsidRPr="006F6475">
        <w:rPr>
          <w:rFonts w:ascii="Times New Roman" w:hAnsi="Times New Roman"/>
          <w:szCs w:val="24"/>
        </w:rPr>
        <w:t xml:space="preserve">Puses vienojas, ka ar konfidenciālu informāciju Konfidencialitātes līguma ietvaros tiek saprasta jebkāda mutiska, rakstiska, vai jebkādā citā tehniskā veidā fiksēta Informācijas devēja rīcībā esoša informācija, kas nav publiski pieejama informācija un, kas tieši vai netieši attiecas uz </w:t>
      </w:r>
      <w:r w:rsidR="000F6C58">
        <w:rPr>
          <w:rFonts w:ascii="Times New Roman" w:hAnsi="Times New Roman"/>
          <w:szCs w:val="24"/>
        </w:rPr>
        <w:t>Kapitālsabiedrību</w:t>
      </w:r>
      <w:r w:rsidRPr="006F6475">
        <w:rPr>
          <w:rFonts w:ascii="Times New Roman" w:hAnsi="Times New Roman"/>
          <w:szCs w:val="24"/>
        </w:rPr>
        <w:t xml:space="preserve">, tajā skaitā (bet neaprobežojoties ar) informāciju par </w:t>
      </w:r>
      <w:r w:rsidR="001865CC">
        <w:rPr>
          <w:rFonts w:ascii="Times New Roman" w:hAnsi="Times New Roman"/>
          <w:szCs w:val="24"/>
        </w:rPr>
        <w:t>Kapitālsabiedrības</w:t>
      </w:r>
      <w:r w:rsidRPr="006F6475">
        <w:rPr>
          <w:rFonts w:ascii="Times New Roman" w:hAnsi="Times New Roman"/>
          <w:szCs w:val="24"/>
        </w:rPr>
        <w:t xml:space="preserve"> biznesu, finanšu, tehnisko, komerciālo, administratīvo, mārketinga, plānošanas, personāla un vadības informāciju, tirdzniecības pieredzi, klientiem, piegādātājiem, darbiniekiem, kapitālu, produktiem, sistēmām, metodikām, procesiem, darījumiem, tirgus iespējām un/vai plāniem, piedāvājumu nodomiem (kā rakstiskā, tā mutiskā, attēlojošā vai jebkādā citā formā), ko tiešā vai netiešā veidā Informācijas devējs vai tā pārstāvji ir izpauduši Informācijas saņēmējam Konfidencialitātes līguma ietvaros (turpmāk – Konfidenciālā informācija), kuru Informācijas devējs </w:t>
      </w:r>
      <w:r w:rsidR="00292A21" w:rsidRPr="00292A21">
        <w:rPr>
          <w:rFonts w:ascii="Times New Roman" w:hAnsi="Times New Roman"/>
          <w:szCs w:val="24"/>
        </w:rPr>
        <w:t xml:space="preserve">Daugavpils </w:t>
      </w:r>
      <w:proofErr w:type="spellStart"/>
      <w:r w:rsidR="00292A21" w:rsidRPr="00292A21">
        <w:rPr>
          <w:rFonts w:ascii="Times New Roman" w:hAnsi="Times New Roman"/>
          <w:szCs w:val="24"/>
        </w:rPr>
        <w:t>valstspilsētas</w:t>
      </w:r>
      <w:proofErr w:type="spellEnd"/>
      <w:r w:rsidR="00292A21" w:rsidRPr="00292A21">
        <w:rPr>
          <w:rFonts w:ascii="Times New Roman" w:hAnsi="Times New Roman"/>
          <w:szCs w:val="24"/>
        </w:rPr>
        <w:t xml:space="preserve"> pašvaldībai piederošo Kapitālsabiedrības 100% kapitāla daļu</w:t>
      </w:r>
      <w:r w:rsidRPr="006F6475">
        <w:rPr>
          <w:rFonts w:ascii="Times New Roman" w:hAnsi="Times New Roman"/>
          <w:szCs w:val="24"/>
        </w:rPr>
        <w:t xml:space="preserve"> </w:t>
      </w:r>
      <w:r w:rsidR="00151A6F">
        <w:rPr>
          <w:rFonts w:ascii="Times New Roman" w:hAnsi="Times New Roman"/>
          <w:szCs w:val="24"/>
        </w:rPr>
        <w:t xml:space="preserve">pārdošanas </w:t>
      </w:r>
      <w:r w:rsidRPr="006F6475">
        <w:rPr>
          <w:rFonts w:ascii="Times New Roman" w:hAnsi="Times New Roman"/>
          <w:szCs w:val="24"/>
        </w:rPr>
        <w:t>nodrošināšanai nodod Informācijas saņēmējam neatkarīgi no tā, vai Informācijas devējs ir vai nav to norādījis kā konfidenciālu.</w:t>
      </w:r>
    </w:p>
    <w:p w14:paraId="6286F45D" w14:textId="77777777" w:rsidR="00D17882" w:rsidRPr="006F6475" w:rsidRDefault="00D17882" w:rsidP="00BA5704">
      <w:pPr>
        <w:numPr>
          <w:ilvl w:val="1"/>
          <w:numId w:val="13"/>
        </w:numPr>
        <w:jc w:val="both"/>
        <w:rPr>
          <w:rFonts w:ascii="Times New Roman" w:hAnsi="Times New Roman"/>
          <w:szCs w:val="24"/>
        </w:rPr>
      </w:pPr>
      <w:r w:rsidRPr="006F6475">
        <w:rPr>
          <w:rFonts w:ascii="Times New Roman" w:hAnsi="Times New Roman"/>
          <w:szCs w:val="24"/>
        </w:rPr>
        <w:t>Par Konfidenciālu informāciju nav uzskatāma tāda informācija:</w:t>
      </w:r>
    </w:p>
    <w:p w14:paraId="6E5989CB" w14:textId="77777777" w:rsidR="00D17882" w:rsidRPr="006F6475" w:rsidRDefault="00D17882" w:rsidP="00BA5704">
      <w:pPr>
        <w:numPr>
          <w:ilvl w:val="2"/>
          <w:numId w:val="13"/>
        </w:numPr>
        <w:jc w:val="both"/>
        <w:rPr>
          <w:rFonts w:ascii="Times New Roman" w:hAnsi="Times New Roman"/>
          <w:szCs w:val="24"/>
        </w:rPr>
      </w:pPr>
      <w:r w:rsidRPr="006F6475">
        <w:rPr>
          <w:rFonts w:ascii="Times New Roman" w:hAnsi="Times New Roman"/>
          <w:szCs w:val="24"/>
        </w:rPr>
        <w:lastRenderedPageBreak/>
        <w:t xml:space="preserve"> kas ir vispārēji zināma vai publiski pieejama informācijas izpaušanas brīdī vai kas vēlāk kļūst publiski zināma, izņemot, ja to izpaudis Informācijas saņēmējs, pārkāpjot Konfidencialitātes līguma noteikumus;</w:t>
      </w:r>
    </w:p>
    <w:p w14:paraId="7C08342B" w14:textId="77777777" w:rsidR="00D17882" w:rsidRPr="006F6475" w:rsidRDefault="00D17882" w:rsidP="00BA5704">
      <w:pPr>
        <w:numPr>
          <w:ilvl w:val="2"/>
          <w:numId w:val="13"/>
        </w:numPr>
        <w:jc w:val="both"/>
        <w:rPr>
          <w:rFonts w:ascii="Times New Roman" w:hAnsi="Times New Roman"/>
          <w:szCs w:val="24"/>
        </w:rPr>
      </w:pPr>
      <w:r w:rsidRPr="006F6475">
        <w:rPr>
          <w:rFonts w:ascii="Times New Roman" w:hAnsi="Times New Roman"/>
          <w:szCs w:val="24"/>
        </w:rPr>
        <w:t>kuru Informācijas saņēmējs ir ieguvis no kāda cita informācijas avota, kas nav Informācijas devējs;</w:t>
      </w:r>
    </w:p>
    <w:p w14:paraId="61C64689" w14:textId="77777777" w:rsidR="00D17882" w:rsidRPr="006F6475" w:rsidRDefault="00D17882" w:rsidP="00BA5704">
      <w:pPr>
        <w:numPr>
          <w:ilvl w:val="2"/>
          <w:numId w:val="13"/>
        </w:numPr>
        <w:jc w:val="both"/>
        <w:rPr>
          <w:rFonts w:ascii="Times New Roman" w:hAnsi="Times New Roman"/>
          <w:szCs w:val="24"/>
        </w:rPr>
      </w:pPr>
      <w:r w:rsidRPr="006F6475">
        <w:rPr>
          <w:rFonts w:ascii="Times New Roman" w:hAnsi="Times New Roman"/>
          <w:szCs w:val="24"/>
        </w:rPr>
        <w:t>kas ir likumīgā ceļā zināma Informācijas saņēmējam šīs informācijas saņemšanas brīdī;</w:t>
      </w:r>
    </w:p>
    <w:p w14:paraId="0E8CEBC9" w14:textId="77777777" w:rsidR="00D17882" w:rsidRPr="006F6475" w:rsidRDefault="00D17882" w:rsidP="00BA5704">
      <w:pPr>
        <w:numPr>
          <w:ilvl w:val="2"/>
          <w:numId w:val="13"/>
        </w:numPr>
        <w:jc w:val="both"/>
        <w:rPr>
          <w:rFonts w:ascii="Times New Roman" w:hAnsi="Times New Roman"/>
          <w:szCs w:val="24"/>
        </w:rPr>
      </w:pPr>
      <w:r w:rsidRPr="006F6475">
        <w:rPr>
          <w:rFonts w:ascii="Times New Roman" w:hAnsi="Times New Roman"/>
          <w:szCs w:val="24"/>
        </w:rPr>
        <w:t>kuru Informācijas devējs bez jebkādiem ierobežojumiem sniedz trešajām personām.</w:t>
      </w:r>
    </w:p>
    <w:p w14:paraId="63351924" w14:textId="77777777" w:rsidR="008D5AEE" w:rsidRDefault="00D17882" w:rsidP="00BA5704">
      <w:pPr>
        <w:numPr>
          <w:ilvl w:val="1"/>
          <w:numId w:val="13"/>
        </w:numPr>
        <w:jc w:val="both"/>
        <w:rPr>
          <w:rFonts w:ascii="Times New Roman" w:hAnsi="Times New Roman"/>
          <w:szCs w:val="24"/>
        </w:rPr>
      </w:pPr>
      <w:r w:rsidRPr="006F6475">
        <w:rPr>
          <w:rFonts w:ascii="Times New Roman" w:hAnsi="Times New Roman"/>
          <w:szCs w:val="24"/>
        </w:rPr>
        <w:t xml:space="preserve">Informācijas saņēmējs ar vislielāko rūpību un uzmanību apņemas Konfidenciālās informācijas apstrādē ievērot piemērojamo normatīvo aktu prasības, tajā skaitā ar vislielāko rūpību rūpēties par informāciju, kas satur vai varētu saturēt </w:t>
      </w:r>
      <w:r w:rsidR="00511A22">
        <w:rPr>
          <w:rFonts w:ascii="Times New Roman" w:hAnsi="Times New Roman"/>
          <w:szCs w:val="24"/>
        </w:rPr>
        <w:t>Kapitālsabiedrības</w:t>
      </w:r>
      <w:r w:rsidRPr="006F6475">
        <w:rPr>
          <w:rFonts w:ascii="Times New Roman" w:hAnsi="Times New Roman"/>
          <w:szCs w:val="24"/>
        </w:rPr>
        <w:t xml:space="preserve"> komercnoslēpumu, kā arī par fizisko personu datiem un par šo datu drošību, kas nonākuši Informācijas saņēmēja rīcībā, nepārkāpjot Eiropas Parlamenta un Padomes Regulas (ES) 2016/679 </w:t>
      </w:r>
      <w:r w:rsidR="00100D96" w:rsidRPr="00100D96">
        <w:rPr>
          <w:rFonts w:ascii="Times New Roman" w:hAnsi="Times New Roman"/>
          <w:szCs w:val="24"/>
        </w:rPr>
        <w:t>par fizisku personu aizsardzību attiecībā uz personas datu apstrādi un šādu datu brīvu apriti</w:t>
      </w:r>
      <w:r w:rsidR="008D5AEE">
        <w:rPr>
          <w:rFonts w:ascii="Times New Roman" w:hAnsi="Times New Roman"/>
          <w:szCs w:val="24"/>
        </w:rPr>
        <w:t>.</w:t>
      </w:r>
    </w:p>
    <w:p w14:paraId="20794140" w14:textId="0AFE9209" w:rsidR="00D17882" w:rsidRPr="006F6475" w:rsidRDefault="00D17882" w:rsidP="00BA5704">
      <w:pPr>
        <w:tabs>
          <w:tab w:val="left" w:pos="567"/>
        </w:tabs>
        <w:ind w:left="360"/>
        <w:jc w:val="both"/>
        <w:rPr>
          <w:rFonts w:ascii="Times New Roman" w:hAnsi="Times New Roman"/>
          <w:szCs w:val="24"/>
        </w:rPr>
      </w:pPr>
      <w:r w:rsidRPr="006F6475">
        <w:rPr>
          <w:rFonts w:ascii="Times New Roman" w:hAnsi="Times New Roman"/>
          <w:szCs w:val="24"/>
        </w:rPr>
        <w:t xml:space="preserve">  </w:t>
      </w:r>
    </w:p>
    <w:p w14:paraId="66C8F5E3" w14:textId="77777777" w:rsidR="00D17882" w:rsidRPr="006F6475" w:rsidRDefault="00D17882" w:rsidP="00BA5704">
      <w:pPr>
        <w:numPr>
          <w:ilvl w:val="0"/>
          <w:numId w:val="13"/>
        </w:numPr>
        <w:tabs>
          <w:tab w:val="left" w:pos="567"/>
        </w:tabs>
        <w:ind w:left="567" w:hanging="567"/>
        <w:jc w:val="center"/>
        <w:rPr>
          <w:rFonts w:ascii="Times New Roman" w:hAnsi="Times New Roman"/>
          <w:b/>
          <w:szCs w:val="24"/>
        </w:rPr>
      </w:pPr>
      <w:r w:rsidRPr="006F6475">
        <w:rPr>
          <w:rFonts w:ascii="Times New Roman" w:hAnsi="Times New Roman"/>
          <w:b/>
          <w:szCs w:val="24"/>
        </w:rPr>
        <w:t>Konfidenciālās informācijas neizpaušana</w:t>
      </w:r>
    </w:p>
    <w:p w14:paraId="468DE3CD" w14:textId="10F4A66F"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Informācijas saņēmējs apņemas nodrošināt Konfidenciālas informācijas iegūšanu, lietošanu, glabāšanu un aizsardzību saskaņā ar Konfidencialitātes līguma nosacījumiem. Informācijas saņēmējs apņemas izmantot Konfidenciālo informāciju vienīgi, lai iepazītos ar </w:t>
      </w:r>
      <w:r w:rsidR="005A2D93">
        <w:rPr>
          <w:rFonts w:ascii="Times New Roman" w:hAnsi="Times New Roman"/>
          <w:szCs w:val="24"/>
        </w:rPr>
        <w:t>informāciju par Kapitālsabiedrību</w:t>
      </w:r>
      <w:r w:rsidRPr="006F6475">
        <w:rPr>
          <w:rFonts w:ascii="Times New Roman" w:hAnsi="Times New Roman"/>
          <w:szCs w:val="24"/>
        </w:rPr>
        <w:t>.</w:t>
      </w:r>
    </w:p>
    <w:p w14:paraId="4C68FD3F"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Konfidenciālās Informācijas saņēmējs nav tiesīgs tieši vai netieši izpaust Konfidenciālu informāciju trešajām personām bez Informācijas devēja rakstiskas piekrišanas, izņemot Informācijas saņēmēja darbiniekus, pieaicinātos ekspertus, pilnvarotos pārstāvjus, sadarbības partnerus. Konfidenciālā informācija ir pieprasāma rakstiski, pieprasījumā norādot visas personas, kas Informācijas saņēmēja uzdevumā strādās ar saņemtajiem datiem. </w:t>
      </w:r>
    </w:p>
    <w:p w14:paraId="72C8488E"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Informācijas saņēmējam ir pienākums nodrošināt, lai jebkura persona, kurai Informācijas saņēmējs nodod Konfidenciālo informāciju, ievēro Konfidencialitātes līguma noteikumus. Gadījumā, ja kāda no Konfidencialitātes līguma 2.2.punktā minētajām personām izpauž Konfidenciālo informāciju, tad Informācijas devējs ir tiesīgs prasīt atbildību no Informācijas saņēmēja.</w:t>
      </w:r>
    </w:p>
    <w:p w14:paraId="0894544B"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Konfidenciālās informācijas izpaušana trešajām personām netiks uzskatīta par Konfidencialitātes līguma pārkāpumu šādos gadījumos:</w:t>
      </w:r>
    </w:p>
    <w:p w14:paraId="3D727985" w14:textId="77777777" w:rsidR="00D17882" w:rsidRPr="006F6475" w:rsidRDefault="00D17882" w:rsidP="00BA5704">
      <w:pPr>
        <w:numPr>
          <w:ilvl w:val="2"/>
          <w:numId w:val="13"/>
        </w:numPr>
        <w:tabs>
          <w:tab w:val="clear" w:pos="720"/>
        </w:tabs>
        <w:ind w:left="426" w:hanging="426"/>
        <w:jc w:val="both"/>
        <w:rPr>
          <w:rFonts w:ascii="Times New Roman" w:hAnsi="Times New Roman"/>
          <w:szCs w:val="24"/>
        </w:rPr>
      </w:pPr>
      <w:r w:rsidRPr="006F6475">
        <w:rPr>
          <w:rFonts w:ascii="Times New Roman" w:hAnsi="Times New Roman"/>
          <w:szCs w:val="24"/>
        </w:rPr>
        <w:t>Konfidenciālā informācija tiek izpausta vai nodota kompetentām valsts varas, pašvaldību, administratīvajām, tiesu vai tamlīdzīgām iestādēm vai citām trešajām personām normatīvajos aktos noteiktajos gadījumos un kārtībā;</w:t>
      </w:r>
    </w:p>
    <w:p w14:paraId="6BACA69A" w14:textId="77777777" w:rsidR="00D17882" w:rsidRPr="006F6475" w:rsidRDefault="00D17882" w:rsidP="00BA5704">
      <w:pPr>
        <w:numPr>
          <w:ilvl w:val="2"/>
          <w:numId w:val="13"/>
        </w:numPr>
        <w:tabs>
          <w:tab w:val="clear" w:pos="720"/>
        </w:tabs>
        <w:ind w:left="426" w:hanging="426"/>
        <w:jc w:val="both"/>
        <w:rPr>
          <w:rFonts w:ascii="Times New Roman" w:hAnsi="Times New Roman"/>
          <w:szCs w:val="24"/>
        </w:rPr>
      </w:pPr>
      <w:r w:rsidRPr="006F6475">
        <w:rPr>
          <w:rFonts w:ascii="Times New Roman" w:hAnsi="Times New Roman"/>
          <w:szCs w:val="24"/>
        </w:rPr>
        <w:t>Konfidenciālā informācija tiek izpausta vai nodota trešajām personām pēc tam, kad Konfidenciālā informācija neatkarīgi no Informācijas saņēmēja ir kļuvusi publiski zināma vai brīvi pieejama trešajām personām.</w:t>
      </w:r>
    </w:p>
    <w:p w14:paraId="59804021"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Puses vienojas, ka jebkurš konfidencialitātes saistības pārkāpums ir pamats Informācijas devējam pieprasīt nekavējoties atgriezt visu nosūtīto vai izsniegto informāciju, vai pieprasīt tās nekavējošu iznīcināšanu.</w:t>
      </w:r>
    </w:p>
    <w:p w14:paraId="4B94C038" w14:textId="77777777" w:rsidR="00D17882" w:rsidRPr="006F6475" w:rsidRDefault="00D17882" w:rsidP="00BA5704">
      <w:pPr>
        <w:numPr>
          <w:ilvl w:val="0"/>
          <w:numId w:val="13"/>
        </w:numPr>
        <w:tabs>
          <w:tab w:val="left" w:pos="567"/>
        </w:tabs>
        <w:ind w:left="567" w:hanging="567"/>
        <w:jc w:val="center"/>
        <w:rPr>
          <w:rFonts w:ascii="Times New Roman" w:hAnsi="Times New Roman"/>
          <w:b/>
          <w:szCs w:val="24"/>
        </w:rPr>
      </w:pPr>
      <w:r w:rsidRPr="006F6475">
        <w:rPr>
          <w:rFonts w:ascii="Times New Roman" w:hAnsi="Times New Roman"/>
          <w:b/>
          <w:szCs w:val="24"/>
        </w:rPr>
        <w:t>Atbildība</w:t>
      </w:r>
    </w:p>
    <w:p w14:paraId="249F042E" w14:textId="77777777" w:rsidR="00D17882" w:rsidRPr="006F6475" w:rsidRDefault="00D17882" w:rsidP="00BA5704">
      <w:pPr>
        <w:pStyle w:val="ListParagraph"/>
        <w:numPr>
          <w:ilvl w:val="1"/>
          <w:numId w:val="13"/>
        </w:numPr>
        <w:contextualSpacing/>
        <w:jc w:val="both"/>
        <w:rPr>
          <w:rFonts w:ascii="Times New Roman" w:hAnsi="Times New Roman"/>
          <w:szCs w:val="24"/>
        </w:rPr>
      </w:pPr>
      <w:r w:rsidRPr="006F6475">
        <w:rPr>
          <w:rFonts w:ascii="Times New Roman" w:hAnsi="Times New Roman"/>
          <w:szCs w:val="24"/>
        </w:rPr>
        <w:t xml:space="preserve"> Informācijas saņēmējs atzīst, ka Informācijas devējs saglabā īpašumtiesības uz visu Konfidenciālo informāciju un Informācijas saņēmējs uz to neiegūst nekādas tiesības.</w:t>
      </w:r>
    </w:p>
    <w:p w14:paraId="03701867" w14:textId="25B72FD7" w:rsidR="00D17882" w:rsidRPr="006F6475" w:rsidRDefault="00D17882" w:rsidP="00BA5704">
      <w:pPr>
        <w:pStyle w:val="ListParagraph"/>
        <w:numPr>
          <w:ilvl w:val="1"/>
          <w:numId w:val="13"/>
        </w:numPr>
        <w:contextualSpacing/>
        <w:jc w:val="both"/>
        <w:rPr>
          <w:rFonts w:ascii="Times New Roman" w:hAnsi="Times New Roman"/>
          <w:szCs w:val="24"/>
        </w:rPr>
      </w:pPr>
      <w:r w:rsidRPr="006F6475">
        <w:rPr>
          <w:rFonts w:ascii="Times New Roman" w:hAnsi="Times New Roman"/>
          <w:szCs w:val="24"/>
        </w:rPr>
        <w:t xml:space="preserve"> Konfidencialitātes līguma darbības laikā, kā arī pēc tā Informācijas saņēmējs apņemas neveikt darbības, kuru nolūks ir vai, saprātīgi apsverot, varētu </w:t>
      </w:r>
      <w:r w:rsidR="004E1662">
        <w:rPr>
          <w:rFonts w:ascii="Times New Roman" w:hAnsi="Times New Roman"/>
          <w:szCs w:val="24"/>
        </w:rPr>
        <w:t>nodarīt kaitējumu</w:t>
      </w:r>
      <w:r w:rsidRPr="006F6475">
        <w:rPr>
          <w:rFonts w:ascii="Times New Roman" w:hAnsi="Times New Roman"/>
          <w:szCs w:val="24"/>
        </w:rPr>
        <w:t xml:space="preserve"> Informācijas devējam vai </w:t>
      </w:r>
      <w:r w:rsidR="00921AE1">
        <w:rPr>
          <w:rFonts w:ascii="Times New Roman" w:hAnsi="Times New Roman"/>
          <w:szCs w:val="24"/>
        </w:rPr>
        <w:t>Kapitālsabiedrībai,</w:t>
      </w:r>
      <w:r w:rsidRPr="006F6475">
        <w:rPr>
          <w:rFonts w:ascii="Times New Roman" w:hAnsi="Times New Roman"/>
          <w:szCs w:val="24"/>
        </w:rPr>
        <w:t xml:space="preserve"> vai t</w:t>
      </w:r>
      <w:r w:rsidR="00921AE1">
        <w:rPr>
          <w:rFonts w:ascii="Times New Roman" w:hAnsi="Times New Roman"/>
          <w:szCs w:val="24"/>
        </w:rPr>
        <w:t>ās</w:t>
      </w:r>
      <w:r w:rsidRPr="006F6475">
        <w:rPr>
          <w:rFonts w:ascii="Times New Roman" w:hAnsi="Times New Roman"/>
          <w:szCs w:val="24"/>
        </w:rPr>
        <w:t xml:space="preserve"> reputācijai, kā arī darbības, kuras, saprātīgi apsverot, varētu novest pie nevēlamas vai nelabvēlīgas publicitātes Informācijas devējam vai </w:t>
      </w:r>
      <w:r w:rsidR="004E1662">
        <w:rPr>
          <w:rFonts w:ascii="Times New Roman" w:hAnsi="Times New Roman"/>
          <w:szCs w:val="24"/>
        </w:rPr>
        <w:t>Kapitālsabiedrībai</w:t>
      </w:r>
      <w:r w:rsidRPr="006F6475">
        <w:rPr>
          <w:rFonts w:ascii="Times New Roman" w:hAnsi="Times New Roman"/>
          <w:szCs w:val="24"/>
        </w:rPr>
        <w:t xml:space="preserve">. Šāda aizskāruma gadījumā, neatkarīgi no tā, vai šādu aizskārumu ir veikusi Informācijas saņēmēja amatpersona, tās darbinieki, vai citas saistītās personas, ja šāds aizskārums ir saistīts ar vai izriet no Konfidencialitātes līguma, Informācijas saņēmējs apņemas segt Informācijas devējam un/vai </w:t>
      </w:r>
      <w:r w:rsidR="004E1662">
        <w:rPr>
          <w:rFonts w:ascii="Times New Roman" w:hAnsi="Times New Roman"/>
          <w:szCs w:val="24"/>
        </w:rPr>
        <w:t>Kapitālsabiedrībai</w:t>
      </w:r>
      <w:r w:rsidRPr="006F6475">
        <w:rPr>
          <w:rFonts w:ascii="Times New Roman" w:hAnsi="Times New Roman"/>
          <w:szCs w:val="24"/>
        </w:rPr>
        <w:t xml:space="preserve"> aizskāruma rezultātā radītos zaudējumus.</w:t>
      </w:r>
    </w:p>
    <w:p w14:paraId="7E64EA07" w14:textId="7298175B" w:rsidR="00D17882" w:rsidRPr="006F6475" w:rsidRDefault="00D17882" w:rsidP="00BA5704">
      <w:pPr>
        <w:pStyle w:val="ListParagraph"/>
        <w:numPr>
          <w:ilvl w:val="1"/>
          <w:numId w:val="13"/>
        </w:numPr>
        <w:contextualSpacing/>
        <w:jc w:val="both"/>
        <w:rPr>
          <w:rFonts w:ascii="Times New Roman" w:hAnsi="Times New Roman"/>
          <w:szCs w:val="24"/>
        </w:rPr>
      </w:pPr>
      <w:r w:rsidRPr="006F6475">
        <w:rPr>
          <w:rFonts w:ascii="Times New Roman" w:hAnsi="Times New Roman"/>
          <w:szCs w:val="24"/>
        </w:rPr>
        <w:t xml:space="preserve"> Konfidencialitātes līgums neliedz Informācijas devējam izmantot visus tiesiskos aizsardzības līdzekļus, kas ir paredzēti normatīvajos aktos, lai aizsargātu sevi un </w:t>
      </w:r>
      <w:r w:rsidR="004E1662">
        <w:rPr>
          <w:rFonts w:ascii="Times New Roman" w:hAnsi="Times New Roman"/>
          <w:szCs w:val="24"/>
        </w:rPr>
        <w:t>Kapitālsabiedrību</w:t>
      </w:r>
      <w:r w:rsidRPr="006F6475">
        <w:rPr>
          <w:rFonts w:ascii="Times New Roman" w:hAnsi="Times New Roman"/>
          <w:szCs w:val="24"/>
        </w:rPr>
        <w:t xml:space="preserve"> Konfidencialitātes līguma noteikumu pārkāpšanas gadījumā, tajā skaitā, piedzīt radušos zaudējumus. Par Informācijas devējiem vai </w:t>
      </w:r>
      <w:r w:rsidR="004E1662">
        <w:rPr>
          <w:rFonts w:ascii="Times New Roman" w:hAnsi="Times New Roman"/>
          <w:szCs w:val="24"/>
        </w:rPr>
        <w:t xml:space="preserve">Kapitālsabiedrībai </w:t>
      </w:r>
      <w:r w:rsidRPr="006F6475">
        <w:rPr>
          <w:rFonts w:ascii="Times New Roman" w:hAnsi="Times New Roman"/>
          <w:szCs w:val="24"/>
        </w:rPr>
        <w:t xml:space="preserve">radītajiem zaudējumiem Informācijas saņēmējs atbild saskaņā ar Latvijas Republikas normatīvajiem aktiem.  </w:t>
      </w:r>
    </w:p>
    <w:p w14:paraId="0072FABE" w14:textId="4C3A6D9F" w:rsidR="00D17882" w:rsidRPr="006F6475" w:rsidRDefault="00D17882" w:rsidP="00BA5704">
      <w:pPr>
        <w:pStyle w:val="ListParagraph"/>
        <w:numPr>
          <w:ilvl w:val="1"/>
          <w:numId w:val="13"/>
        </w:numPr>
        <w:contextualSpacing/>
        <w:jc w:val="both"/>
        <w:rPr>
          <w:rFonts w:ascii="Times New Roman" w:hAnsi="Times New Roman"/>
          <w:szCs w:val="24"/>
        </w:rPr>
      </w:pPr>
      <w:r w:rsidRPr="006F6475">
        <w:rPr>
          <w:rFonts w:ascii="Times New Roman" w:hAnsi="Times New Roman"/>
          <w:szCs w:val="24"/>
        </w:rPr>
        <w:t xml:space="preserve"> Gadījumā, ja konfidencialitātes saistības pārkāpums ir pamats zaudējumu radīšanai Informācijas devējam vai </w:t>
      </w:r>
      <w:r w:rsidR="004E1662">
        <w:rPr>
          <w:rFonts w:ascii="Times New Roman" w:hAnsi="Times New Roman"/>
          <w:szCs w:val="24"/>
        </w:rPr>
        <w:t>Kapitālsabiedrībai</w:t>
      </w:r>
      <w:r w:rsidRPr="006F6475">
        <w:rPr>
          <w:rFonts w:ascii="Times New Roman" w:hAnsi="Times New Roman"/>
          <w:szCs w:val="24"/>
        </w:rPr>
        <w:t xml:space="preserve">, tad Informācijas devējs par to paziņo Informācijas saņēmējam, un Informācijas saņēmējam ir pienākums ne vēlāk kā 10 (desmit) dienu laikā no paziņojuma saņemšanas brīža sniegt rakstveida paskaidrojumu, kurā aprakstītas procedūras un piesardzības pasākumi, kas pielietoti Konfidenciālās informācijas saglabāšanai, </w:t>
      </w:r>
      <w:r w:rsidR="00915027">
        <w:rPr>
          <w:rFonts w:ascii="Times New Roman" w:hAnsi="Times New Roman"/>
          <w:szCs w:val="24"/>
        </w:rPr>
        <w:t xml:space="preserve">kā arī </w:t>
      </w:r>
      <w:r w:rsidRPr="006F6475">
        <w:rPr>
          <w:rFonts w:ascii="Times New Roman" w:hAnsi="Times New Roman"/>
          <w:szCs w:val="24"/>
        </w:rPr>
        <w:t xml:space="preserve">sniegti Informācijas saņēmēja pārbaudes rezultāti par iespējamās izpaušanas avotu un metodi. </w:t>
      </w:r>
    </w:p>
    <w:p w14:paraId="560A0996" w14:textId="77777777" w:rsidR="00D17882" w:rsidRPr="006F6475" w:rsidRDefault="00D17882" w:rsidP="00BA5704">
      <w:pPr>
        <w:pStyle w:val="ListParagraph"/>
        <w:numPr>
          <w:ilvl w:val="1"/>
          <w:numId w:val="13"/>
        </w:numPr>
        <w:contextualSpacing/>
        <w:jc w:val="both"/>
        <w:rPr>
          <w:rFonts w:ascii="Times New Roman" w:hAnsi="Times New Roman"/>
          <w:szCs w:val="24"/>
        </w:rPr>
      </w:pPr>
      <w:r w:rsidRPr="006F6475">
        <w:rPr>
          <w:rFonts w:ascii="Times New Roman" w:hAnsi="Times New Roman"/>
          <w:szCs w:val="24"/>
        </w:rPr>
        <w:t>Gadījumā, ja Konfidencialitātes līguma darbības laikā Informācijas saņēmējam kļūst zināms neautorizēts Konfidenciālās informācijas izpaušanas gadījums, Informācijas saņēmējs nekavējoties informē par to Informācijas devēju.</w:t>
      </w:r>
    </w:p>
    <w:p w14:paraId="5A1EB308" w14:textId="77777777" w:rsidR="00D17882" w:rsidRPr="006F6475" w:rsidRDefault="00D17882" w:rsidP="00BA5704">
      <w:pPr>
        <w:jc w:val="both"/>
        <w:rPr>
          <w:rFonts w:ascii="Times New Roman" w:hAnsi="Times New Roman"/>
          <w:szCs w:val="24"/>
        </w:rPr>
      </w:pPr>
    </w:p>
    <w:p w14:paraId="66C722A7" w14:textId="77777777" w:rsidR="00D17882" w:rsidRPr="006F6475" w:rsidRDefault="00D17882" w:rsidP="00BA5704">
      <w:pPr>
        <w:numPr>
          <w:ilvl w:val="0"/>
          <w:numId w:val="13"/>
        </w:numPr>
        <w:jc w:val="center"/>
        <w:rPr>
          <w:rFonts w:ascii="Times New Roman" w:hAnsi="Times New Roman"/>
          <w:b/>
          <w:szCs w:val="24"/>
        </w:rPr>
      </w:pPr>
      <w:r w:rsidRPr="006F6475">
        <w:rPr>
          <w:rFonts w:ascii="Times New Roman" w:hAnsi="Times New Roman"/>
          <w:b/>
          <w:szCs w:val="24"/>
        </w:rPr>
        <w:t>Informācijas aprites kārtība</w:t>
      </w:r>
    </w:p>
    <w:p w14:paraId="00895E54" w14:textId="77777777" w:rsidR="00D17882" w:rsidRDefault="00D17882" w:rsidP="00BA5704">
      <w:pPr>
        <w:numPr>
          <w:ilvl w:val="1"/>
          <w:numId w:val="13"/>
        </w:numPr>
        <w:tabs>
          <w:tab w:val="clear" w:pos="360"/>
          <w:tab w:val="left" w:pos="426"/>
        </w:tabs>
        <w:ind w:left="426" w:hanging="426"/>
        <w:jc w:val="both"/>
        <w:rPr>
          <w:rFonts w:ascii="Times New Roman" w:hAnsi="Times New Roman"/>
          <w:szCs w:val="24"/>
        </w:rPr>
      </w:pPr>
      <w:r w:rsidRPr="006F6475">
        <w:rPr>
          <w:rFonts w:ascii="Times New Roman" w:hAnsi="Times New Roman"/>
          <w:szCs w:val="24"/>
        </w:rPr>
        <w:t>Puses vienojas, ka Konfidenciālā informācija Konfidencialitātes līguma ietvaros tiks nodota un saņemta, nosūtot elektroniski uz Informācijas saņēmēja norādītu drošu elektronisko pasta adresi, ar paroli aizsargātā veidā, garantējot, ka e-pasta saturs būs pieejams tikai un vienīgi gala adresātam (Informācijas saņēmējam vai 2.2.punktā norādītajām personām).</w:t>
      </w:r>
    </w:p>
    <w:p w14:paraId="30F46115" w14:textId="651074BD" w:rsidR="00D17882" w:rsidRPr="003D5C49" w:rsidRDefault="00D17882" w:rsidP="00BA5704">
      <w:pPr>
        <w:numPr>
          <w:ilvl w:val="1"/>
          <w:numId w:val="13"/>
        </w:numPr>
        <w:tabs>
          <w:tab w:val="clear" w:pos="360"/>
          <w:tab w:val="left" w:pos="426"/>
        </w:tabs>
        <w:ind w:left="426" w:hanging="426"/>
        <w:jc w:val="both"/>
        <w:rPr>
          <w:rFonts w:ascii="Times New Roman" w:hAnsi="Times New Roman"/>
          <w:szCs w:val="24"/>
        </w:rPr>
      </w:pPr>
      <w:r w:rsidRPr="003D5C49">
        <w:rPr>
          <w:rFonts w:ascii="Times New Roman" w:hAnsi="Times New Roman"/>
          <w:szCs w:val="24"/>
        </w:rPr>
        <w:t xml:space="preserve">Informācijas saņēmējam ir pienākums pēc Konfidencialitātes līgumā noteiktās sadarbības izbeigšanas un/vai </w:t>
      </w:r>
      <w:r w:rsidR="006430C4">
        <w:rPr>
          <w:rFonts w:ascii="Times New Roman" w:hAnsi="Times New Roman"/>
          <w:szCs w:val="24"/>
        </w:rPr>
        <w:t>Kapitālsabiedrības</w:t>
      </w:r>
      <w:r w:rsidRPr="003D5C49">
        <w:rPr>
          <w:rFonts w:ascii="Times New Roman" w:hAnsi="Times New Roman"/>
          <w:szCs w:val="24"/>
        </w:rPr>
        <w:t xml:space="preserve"> kapitāl</w:t>
      </w:r>
      <w:r w:rsidR="006430C4">
        <w:rPr>
          <w:rFonts w:ascii="Times New Roman" w:hAnsi="Times New Roman"/>
          <w:szCs w:val="24"/>
        </w:rPr>
        <w:t xml:space="preserve">a </w:t>
      </w:r>
      <w:r w:rsidRPr="003D5C49">
        <w:rPr>
          <w:rFonts w:ascii="Times New Roman" w:hAnsi="Times New Roman"/>
          <w:szCs w:val="24"/>
        </w:rPr>
        <w:t>daļu pārdošanas procesa noslēguma dienas, dzēst visu Konfidenciālo informāciju no jebkura datora (datu nesēja), apstrādes programmas un citas līdzīgas ierīces, kurā Informācijas saņēmējs to ir ierakstījis vai citādi ievietojis, un iznīcināt visas piezīmes, analīzes un dienesta ziņojumus, kas satur Konfidenciālo informāciju. Pēc Informācijas devēja pieprasījuma Informācijas saņēmējs iesniedz rakstveida apliecinājumu par šī Līguma punkta izpildi.</w:t>
      </w:r>
    </w:p>
    <w:p w14:paraId="2A3D2EAF" w14:textId="77777777" w:rsidR="00D17882" w:rsidRPr="006F6475" w:rsidRDefault="00D17882" w:rsidP="00BA5704">
      <w:pPr>
        <w:ind w:left="567"/>
        <w:jc w:val="both"/>
        <w:rPr>
          <w:rFonts w:ascii="Times New Roman" w:hAnsi="Times New Roman"/>
          <w:szCs w:val="24"/>
        </w:rPr>
      </w:pPr>
    </w:p>
    <w:p w14:paraId="0834BC91" w14:textId="77777777" w:rsidR="00D17882" w:rsidRPr="006F6475" w:rsidRDefault="00D17882" w:rsidP="00BA5704">
      <w:pPr>
        <w:numPr>
          <w:ilvl w:val="0"/>
          <w:numId w:val="13"/>
        </w:numPr>
        <w:jc w:val="center"/>
        <w:rPr>
          <w:rFonts w:ascii="Times New Roman" w:hAnsi="Times New Roman"/>
          <w:b/>
          <w:szCs w:val="24"/>
        </w:rPr>
      </w:pPr>
      <w:r w:rsidRPr="006F6475">
        <w:rPr>
          <w:rFonts w:ascii="Times New Roman" w:hAnsi="Times New Roman"/>
          <w:b/>
          <w:szCs w:val="24"/>
        </w:rPr>
        <w:t>Noslēguma noteikumi</w:t>
      </w:r>
    </w:p>
    <w:p w14:paraId="6A32BF5B"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Konfidencialitātes līgums stājas spēkā ar abpusēju tā parakstīšanas brīdi un ir spēkā trīs gadus no Konfidencialitātes līguma noslēgšanas dienas.  </w:t>
      </w:r>
    </w:p>
    <w:p w14:paraId="37E402DA"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Konfidencialitātes līgums sastādīts un darbojas saskaņā ar Latvijas Republikas normatīvajiem aktiem. Jebkurš strīds, domstarpība vai prasība, kas izriet no Konfidencialitātes līguma, kas skar to vai tā izpildi, pārkāpšanu, izbeigšanu vai spēkā neesamību, tiks vispirms risināts starp Pusēm pārrunu veidā. Gadījumā, ja Puses nespēj panākt vienošanos 30 (trīsdesmit) dienu laikā, strīds tiks galīgi izšķirts tiesā Latvijas Republikas normatīvajos aktos noteiktajā kārtībā. Gadījumā, ja kāds no Konfidencialitātes līguma noteikumiem zaudē savu juridisko spēku, tas neietekmē pārējos Konfidencialitātes līgumā iekļautos noteikumus. </w:t>
      </w:r>
    </w:p>
    <w:p w14:paraId="414E3FDC"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Puses apliecina, ka Konfidencialitātes līguma noteikumi bez izmaiņām ir jāattiecina uz Pušu tiesību un saistību pārņēmējiem, mantiniekiem vai citām personām, kas atbild par attiecīgās Puses saistībām.</w:t>
      </w:r>
    </w:p>
    <w:p w14:paraId="71F4AC84" w14:textId="7E72924C"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Jebkuri grozījumi vai papildinājumi Konfidencialitātes līgumā vai jebkuri tā pielikumi ir spēkā pēc tam, kad tie ir noformēti rakstiski un </w:t>
      </w:r>
      <w:r w:rsidR="002546F2">
        <w:rPr>
          <w:rFonts w:ascii="Times New Roman" w:hAnsi="Times New Roman"/>
          <w:szCs w:val="24"/>
        </w:rPr>
        <w:t xml:space="preserve">ir </w:t>
      </w:r>
      <w:r w:rsidRPr="006F6475">
        <w:rPr>
          <w:rFonts w:ascii="Times New Roman" w:hAnsi="Times New Roman"/>
          <w:szCs w:val="24"/>
        </w:rPr>
        <w:t>abpusēji parakstīti.</w:t>
      </w:r>
    </w:p>
    <w:p w14:paraId="528B3CBD" w14:textId="77777777"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Puses vienojas pielietot maksimālas pūles, lai atrisinātu jebkādus strīdus, nesaskaņas vai domstarpības saistībā ar Konfidencialitātes līgumu, savstarpēji vienojoties. </w:t>
      </w:r>
    </w:p>
    <w:p w14:paraId="42A5F102" w14:textId="0DBD0B72" w:rsidR="00D17882" w:rsidRPr="006F6475" w:rsidRDefault="00D17882" w:rsidP="00BA5704">
      <w:pPr>
        <w:numPr>
          <w:ilvl w:val="1"/>
          <w:numId w:val="13"/>
        </w:numPr>
        <w:tabs>
          <w:tab w:val="clear" w:pos="360"/>
        </w:tabs>
        <w:ind w:left="426" w:hanging="426"/>
        <w:jc w:val="both"/>
        <w:rPr>
          <w:rFonts w:ascii="Times New Roman" w:hAnsi="Times New Roman"/>
          <w:szCs w:val="24"/>
        </w:rPr>
      </w:pPr>
      <w:r w:rsidRPr="006F6475">
        <w:rPr>
          <w:rFonts w:ascii="Times New Roman" w:hAnsi="Times New Roman"/>
          <w:szCs w:val="24"/>
        </w:rPr>
        <w:t xml:space="preserve">Konfidencialitātes līgums ir sagatavots </w:t>
      </w:r>
      <w:r w:rsidR="005E4538">
        <w:rPr>
          <w:rFonts w:ascii="Times New Roman" w:hAnsi="Times New Roman"/>
          <w:szCs w:val="24"/>
        </w:rPr>
        <w:t>elektroniskā dokumenta veidā</w:t>
      </w:r>
      <w:r w:rsidRPr="006F6475">
        <w:rPr>
          <w:rFonts w:ascii="Times New Roman" w:hAnsi="Times New Roman"/>
          <w:szCs w:val="24"/>
        </w:rPr>
        <w:t xml:space="preserve"> latviešu valodā</w:t>
      </w:r>
      <w:r w:rsidR="005E4538">
        <w:rPr>
          <w:rFonts w:ascii="Times New Roman" w:hAnsi="Times New Roman"/>
          <w:szCs w:val="24"/>
        </w:rPr>
        <w:t>.</w:t>
      </w:r>
    </w:p>
    <w:p w14:paraId="0699CC50" w14:textId="77777777" w:rsidR="00D17882" w:rsidRPr="006F6475" w:rsidRDefault="00D17882" w:rsidP="00BA5704">
      <w:pPr>
        <w:ind w:left="567"/>
        <w:jc w:val="both"/>
        <w:rPr>
          <w:rFonts w:ascii="Times New Roman" w:hAnsi="Times New Roman"/>
          <w:szCs w:val="24"/>
        </w:rPr>
      </w:pPr>
    </w:p>
    <w:p w14:paraId="553FC1E6" w14:textId="77777777" w:rsidR="00D17882" w:rsidRPr="006F6475" w:rsidRDefault="00D17882" w:rsidP="00BA5704">
      <w:pPr>
        <w:numPr>
          <w:ilvl w:val="0"/>
          <w:numId w:val="13"/>
        </w:numPr>
        <w:jc w:val="center"/>
        <w:rPr>
          <w:rFonts w:ascii="Times New Roman" w:hAnsi="Times New Roman"/>
          <w:b/>
          <w:szCs w:val="24"/>
        </w:rPr>
      </w:pPr>
      <w:r w:rsidRPr="006F6475">
        <w:rPr>
          <w:rFonts w:ascii="Times New Roman" w:hAnsi="Times New Roman"/>
          <w:b/>
          <w:szCs w:val="24"/>
        </w:rPr>
        <w:t>Pušu paraksti</w:t>
      </w:r>
    </w:p>
    <w:p w14:paraId="09FE6E2C" w14:textId="77777777" w:rsidR="00D17882" w:rsidRPr="006F6475" w:rsidRDefault="00D17882" w:rsidP="00BA5704">
      <w:pPr>
        <w:jc w:val="center"/>
        <w:rPr>
          <w:rFonts w:ascii="Times New Roman" w:hAnsi="Times New Roman"/>
          <w:b/>
          <w:szCs w:val="24"/>
        </w:rPr>
      </w:pPr>
    </w:p>
    <w:tbl>
      <w:tblPr>
        <w:tblW w:w="9331" w:type="dxa"/>
        <w:tblLook w:val="04A0" w:firstRow="1" w:lastRow="0" w:firstColumn="1" w:lastColumn="0" w:noHBand="0" w:noVBand="1"/>
      </w:tblPr>
      <w:tblGrid>
        <w:gridCol w:w="5070"/>
        <w:gridCol w:w="4261"/>
      </w:tblGrid>
      <w:tr w:rsidR="00D17882" w:rsidRPr="006F6475" w14:paraId="6915087A" w14:textId="77777777" w:rsidTr="00BA5704">
        <w:tc>
          <w:tcPr>
            <w:tcW w:w="5070" w:type="dxa"/>
          </w:tcPr>
          <w:p w14:paraId="00D54AC1" w14:textId="77777777" w:rsidR="00D17882" w:rsidRPr="006F6475" w:rsidRDefault="00D17882" w:rsidP="00BA5704">
            <w:pPr>
              <w:rPr>
                <w:rFonts w:ascii="Times New Roman" w:hAnsi="Times New Roman"/>
                <w:b/>
                <w:szCs w:val="24"/>
              </w:rPr>
            </w:pPr>
            <w:r w:rsidRPr="006F6475">
              <w:rPr>
                <w:rFonts w:ascii="Times New Roman" w:hAnsi="Times New Roman"/>
                <w:b/>
                <w:szCs w:val="24"/>
              </w:rPr>
              <w:t>Possessor:</w:t>
            </w:r>
          </w:p>
          <w:p w14:paraId="11A18D81" w14:textId="77777777" w:rsidR="00D17882" w:rsidRPr="006F6475" w:rsidRDefault="00D17882" w:rsidP="00BA5704">
            <w:pPr>
              <w:rPr>
                <w:rFonts w:ascii="Times New Roman" w:hAnsi="Times New Roman"/>
                <w:b/>
                <w:szCs w:val="24"/>
              </w:rPr>
            </w:pPr>
          </w:p>
          <w:p w14:paraId="0AB4978E" w14:textId="77777777" w:rsidR="00D17882" w:rsidRPr="006F6475" w:rsidRDefault="00D17882" w:rsidP="00BA5704">
            <w:pPr>
              <w:rPr>
                <w:rFonts w:ascii="Times New Roman" w:hAnsi="Times New Roman"/>
                <w:b/>
                <w:szCs w:val="24"/>
              </w:rPr>
            </w:pPr>
            <w:r w:rsidRPr="006F6475">
              <w:rPr>
                <w:rFonts w:ascii="Times New Roman" w:hAnsi="Times New Roman"/>
                <w:b/>
                <w:szCs w:val="24"/>
              </w:rPr>
              <w:t>_____________________________</w:t>
            </w:r>
          </w:p>
          <w:p w14:paraId="63D28DCC" w14:textId="77777777" w:rsidR="00D17882" w:rsidRPr="006F6475" w:rsidRDefault="00D17882" w:rsidP="00BA5704">
            <w:pPr>
              <w:rPr>
                <w:rFonts w:ascii="Times New Roman" w:hAnsi="Times New Roman"/>
                <w:szCs w:val="24"/>
              </w:rPr>
            </w:pPr>
          </w:p>
          <w:p w14:paraId="1F96ABFE" w14:textId="77777777" w:rsidR="00D17882" w:rsidRPr="006F6475" w:rsidRDefault="00D17882" w:rsidP="00BA5704">
            <w:pPr>
              <w:rPr>
                <w:rFonts w:ascii="Times New Roman" w:hAnsi="Times New Roman"/>
                <w:szCs w:val="24"/>
              </w:rPr>
            </w:pPr>
          </w:p>
        </w:tc>
        <w:tc>
          <w:tcPr>
            <w:tcW w:w="4261" w:type="dxa"/>
          </w:tcPr>
          <w:p w14:paraId="725103CA" w14:textId="45D0D176" w:rsidR="00D17882" w:rsidRPr="006F6475" w:rsidRDefault="00BA5704" w:rsidP="00BA5704">
            <w:pPr>
              <w:rPr>
                <w:rFonts w:ascii="Times New Roman" w:hAnsi="Times New Roman"/>
                <w:b/>
                <w:szCs w:val="24"/>
              </w:rPr>
            </w:pPr>
            <w:r>
              <w:rPr>
                <w:rFonts w:ascii="Times New Roman" w:hAnsi="Times New Roman"/>
                <w:b/>
                <w:szCs w:val="24"/>
              </w:rPr>
              <w:t>Persona/</w:t>
            </w:r>
            <w:r w:rsidR="00101499">
              <w:rPr>
                <w:rFonts w:ascii="Times New Roman" w:hAnsi="Times New Roman"/>
                <w:b/>
                <w:szCs w:val="24"/>
              </w:rPr>
              <w:t>Sabiedrība</w:t>
            </w:r>
            <w:r w:rsidR="00D17882" w:rsidRPr="006F6475">
              <w:rPr>
                <w:rFonts w:ascii="Times New Roman" w:hAnsi="Times New Roman"/>
                <w:b/>
                <w:szCs w:val="24"/>
              </w:rPr>
              <w:t xml:space="preserve">: </w:t>
            </w:r>
          </w:p>
          <w:p w14:paraId="334ABF7B" w14:textId="77777777" w:rsidR="00D17882" w:rsidRPr="006F6475" w:rsidRDefault="00D17882" w:rsidP="00BA5704">
            <w:pPr>
              <w:rPr>
                <w:rFonts w:ascii="Times New Roman" w:hAnsi="Times New Roman"/>
                <w:b/>
                <w:szCs w:val="24"/>
              </w:rPr>
            </w:pPr>
          </w:p>
          <w:p w14:paraId="55A0B2A4" w14:textId="77777777" w:rsidR="00D17882" w:rsidRPr="006F6475" w:rsidRDefault="00D17882" w:rsidP="00BA5704">
            <w:pPr>
              <w:rPr>
                <w:rFonts w:ascii="Times New Roman" w:hAnsi="Times New Roman"/>
                <w:b/>
                <w:szCs w:val="24"/>
              </w:rPr>
            </w:pPr>
            <w:r w:rsidRPr="006F6475">
              <w:rPr>
                <w:rFonts w:ascii="Times New Roman" w:hAnsi="Times New Roman"/>
                <w:b/>
                <w:szCs w:val="24"/>
              </w:rPr>
              <w:t>_____________________________</w:t>
            </w:r>
          </w:p>
          <w:p w14:paraId="32B872B3" w14:textId="77777777" w:rsidR="00D17882" w:rsidRPr="006F6475" w:rsidRDefault="00D17882" w:rsidP="00BA5704">
            <w:pPr>
              <w:rPr>
                <w:rFonts w:ascii="Times New Roman" w:hAnsi="Times New Roman"/>
                <w:b/>
                <w:szCs w:val="24"/>
              </w:rPr>
            </w:pPr>
          </w:p>
        </w:tc>
      </w:tr>
    </w:tbl>
    <w:p w14:paraId="32446B43" w14:textId="36C7E76A" w:rsidR="00B236A1" w:rsidRPr="00B236A1" w:rsidRDefault="00D17882" w:rsidP="00BA5704">
      <w:pPr>
        <w:pStyle w:val="Title"/>
        <w:rPr>
          <w:lang w:val="en-US"/>
        </w:rPr>
      </w:pPr>
      <w:r w:rsidRPr="006F6475">
        <w:rPr>
          <w:bCs/>
          <w:sz w:val="24"/>
          <w:szCs w:val="24"/>
        </w:rPr>
        <w:t>DOKUMENTS PARAKSTĪTS ELEKTRONISKI AR DROŠU ELEKTRONISKO PARAKSTU UN SATUR LAIKA ZĪMOGU</w:t>
      </w:r>
    </w:p>
    <w:sectPr w:rsidR="00B236A1" w:rsidRPr="00B236A1" w:rsidSect="00BA5704">
      <w:footerReference w:type="even" r:id="rId8"/>
      <w:footerReference w:type="default" r:id="rId9"/>
      <w:pgSz w:w="11906" w:h="16838"/>
      <w:pgMar w:top="851" w:right="1133" w:bottom="851" w:left="851" w:header="709"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86C08" w14:textId="77777777" w:rsidR="009F6F77" w:rsidRDefault="009F6F77">
      <w:r>
        <w:separator/>
      </w:r>
    </w:p>
  </w:endnote>
  <w:endnote w:type="continuationSeparator" w:id="0">
    <w:p w14:paraId="5C81BF56" w14:textId="77777777" w:rsidR="009F6F77" w:rsidRDefault="009F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Condensed Light">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F04B" w14:textId="77777777" w:rsidR="00055DDF" w:rsidRDefault="00055D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73CF8" w14:textId="77777777" w:rsidR="00055DDF" w:rsidRDefault="00055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470126"/>
      <w:docPartObj>
        <w:docPartGallery w:val="Page Numbers (Bottom of Page)"/>
        <w:docPartUnique/>
      </w:docPartObj>
    </w:sdtPr>
    <w:sdtEndPr>
      <w:rPr>
        <w:rFonts w:ascii="Times New Roman" w:hAnsi="Times New Roman"/>
        <w:noProof/>
      </w:rPr>
    </w:sdtEndPr>
    <w:sdtContent>
      <w:p w14:paraId="270C8646" w14:textId="3CF4CC4E" w:rsidR="00BA5704" w:rsidRPr="00BA5704" w:rsidRDefault="00BA5704">
        <w:pPr>
          <w:pStyle w:val="Footer"/>
          <w:jc w:val="center"/>
          <w:rPr>
            <w:rFonts w:ascii="Times New Roman" w:hAnsi="Times New Roman"/>
          </w:rPr>
        </w:pPr>
        <w:r w:rsidRPr="00BA5704">
          <w:rPr>
            <w:rFonts w:ascii="Times New Roman" w:hAnsi="Times New Roman"/>
          </w:rPr>
          <w:fldChar w:fldCharType="begin"/>
        </w:r>
        <w:r w:rsidRPr="00BA5704">
          <w:rPr>
            <w:rFonts w:ascii="Times New Roman" w:hAnsi="Times New Roman"/>
          </w:rPr>
          <w:instrText xml:space="preserve"> PAGE   \* MERGEFORMAT </w:instrText>
        </w:r>
        <w:r w:rsidRPr="00BA5704">
          <w:rPr>
            <w:rFonts w:ascii="Times New Roman" w:hAnsi="Times New Roman"/>
          </w:rPr>
          <w:fldChar w:fldCharType="separate"/>
        </w:r>
        <w:r w:rsidRPr="00BA5704">
          <w:rPr>
            <w:rFonts w:ascii="Times New Roman" w:hAnsi="Times New Roman"/>
            <w:noProof/>
          </w:rPr>
          <w:t>2</w:t>
        </w:r>
        <w:r w:rsidRPr="00BA5704">
          <w:rPr>
            <w:rFonts w:ascii="Times New Roman" w:hAnsi="Times New Roman"/>
            <w:noProof/>
          </w:rPr>
          <w:fldChar w:fldCharType="end"/>
        </w:r>
      </w:p>
    </w:sdtContent>
  </w:sdt>
  <w:p w14:paraId="2D01639A" w14:textId="77777777" w:rsidR="00055DDF" w:rsidRDefault="00055D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4A2C" w14:textId="77777777" w:rsidR="009F6F77" w:rsidRDefault="009F6F77">
      <w:r>
        <w:separator/>
      </w:r>
    </w:p>
  </w:footnote>
  <w:footnote w:type="continuationSeparator" w:id="0">
    <w:p w14:paraId="24E86FC9" w14:textId="77777777" w:rsidR="009F6F77" w:rsidRDefault="009F6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9A0"/>
    <w:multiLevelType w:val="multilevel"/>
    <w:tmpl w:val="D0B2CAC2"/>
    <w:lvl w:ilvl="0">
      <w:start w:val="2"/>
      <w:numFmt w:val="decimal"/>
      <w:lvlText w:val="%1."/>
      <w:lvlJc w:val="left"/>
      <w:pPr>
        <w:tabs>
          <w:tab w:val="num" w:pos="368"/>
        </w:tabs>
        <w:ind w:left="368" w:hanging="368"/>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8E0FAB"/>
    <w:multiLevelType w:val="hybridMultilevel"/>
    <w:tmpl w:val="E1565616"/>
    <w:lvl w:ilvl="0" w:tplc="B12EC58A">
      <w:start w:val="2017"/>
      <w:numFmt w:val="bullet"/>
      <w:lvlText w:val="-"/>
      <w:lvlJc w:val="left"/>
      <w:pPr>
        <w:ind w:left="720" w:hanging="360"/>
      </w:pPr>
      <w:rPr>
        <w:rFonts w:ascii="Roboto Condensed Light" w:eastAsia="Aptos" w:hAnsi="Roboto Condensed Light" w:cs="Times New Roman"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6E54D5"/>
    <w:multiLevelType w:val="multilevel"/>
    <w:tmpl w:val="A6F23276"/>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982B4F"/>
    <w:multiLevelType w:val="hybridMultilevel"/>
    <w:tmpl w:val="76C4A1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301AD"/>
    <w:multiLevelType w:val="multilevel"/>
    <w:tmpl w:val="CC546B3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D059D"/>
    <w:multiLevelType w:val="multilevel"/>
    <w:tmpl w:val="5AA498B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5E76C3A"/>
    <w:multiLevelType w:val="hybridMultilevel"/>
    <w:tmpl w:val="8A1A786E"/>
    <w:lvl w:ilvl="0" w:tplc="3EEC66BC">
      <w:start w:val="1"/>
      <w:numFmt w:val="lowerLetter"/>
      <w:lvlText w:val="%1)"/>
      <w:lvlJc w:val="left"/>
      <w:pPr>
        <w:tabs>
          <w:tab w:val="num" w:pos="720"/>
        </w:tabs>
        <w:ind w:left="720" w:hanging="360"/>
      </w:pPr>
    </w:lvl>
    <w:lvl w:ilvl="1" w:tplc="93AE047C" w:tentative="1">
      <w:start w:val="1"/>
      <w:numFmt w:val="lowerLetter"/>
      <w:lvlText w:val="%2."/>
      <w:lvlJc w:val="left"/>
      <w:pPr>
        <w:tabs>
          <w:tab w:val="num" w:pos="1440"/>
        </w:tabs>
        <w:ind w:left="1440" w:hanging="360"/>
      </w:pPr>
    </w:lvl>
    <w:lvl w:ilvl="2" w:tplc="8BD27B38" w:tentative="1">
      <w:start w:val="1"/>
      <w:numFmt w:val="lowerRoman"/>
      <w:lvlText w:val="%3."/>
      <w:lvlJc w:val="right"/>
      <w:pPr>
        <w:tabs>
          <w:tab w:val="num" w:pos="2160"/>
        </w:tabs>
        <w:ind w:left="2160" w:hanging="180"/>
      </w:pPr>
    </w:lvl>
    <w:lvl w:ilvl="3" w:tplc="7518A49E" w:tentative="1">
      <w:start w:val="1"/>
      <w:numFmt w:val="decimal"/>
      <w:lvlText w:val="%4."/>
      <w:lvlJc w:val="left"/>
      <w:pPr>
        <w:tabs>
          <w:tab w:val="num" w:pos="2880"/>
        </w:tabs>
        <w:ind w:left="2880" w:hanging="360"/>
      </w:pPr>
    </w:lvl>
    <w:lvl w:ilvl="4" w:tplc="EFE4ACDC" w:tentative="1">
      <w:start w:val="1"/>
      <w:numFmt w:val="lowerLetter"/>
      <w:lvlText w:val="%5."/>
      <w:lvlJc w:val="left"/>
      <w:pPr>
        <w:tabs>
          <w:tab w:val="num" w:pos="3600"/>
        </w:tabs>
        <w:ind w:left="3600" w:hanging="360"/>
      </w:pPr>
    </w:lvl>
    <w:lvl w:ilvl="5" w:tplc="FAECD7DE" w:tentative="1">
      <w:start w:val="1"/>
      <w:numFmt w:val="lowerRoman"/>
      <w:lvlText w:val="%6."/>
      <w:lvlJc w:val="right"/>
      <w:pPr>
        <w:tabs>
          <w:tab w:val="num" w:pos="4320"/>
        </w:tabs>
        <w:ind w:left="4320" w:hanging="180"/>
      </w:pPr>
    </w:lvl>
    <w:lvl w:ilvl="6" w:tplc="D8305B86" w:tentative="1">
      <w:start w:val="1"/>
      <w:numFmt w:val="decimal"/>
      <w:lvlText w:val="%7."/>
      <w:lvlJc w:val="left"/>
      <w:pPr>
        <w:tabs>
          <w:tab w:val="num" w:pos="5040"/>
        </w:tabs>
        <w:ind w:left="5040" w:hanging="360"/>
      </w:pPr>
    </w:lvl>
    <w:lvl w:ilvl="7" w:tplc="A36A957E" w:tentative="1">
      <w:start w:val="1"/>
      <w:numFmt w:val="lowerLetter"/>
      <w:lvlText w:val="%8."/>
      <w:lvlJc w:val="left"/>
      <w:pPr>
        <w:tabs>
          <w:tab w:val="num" w:pos="5760"/>
        </w:tabs>
        <w:ind w:left="5760" w:hanging="360"/>
      </w:pPr>
    </w:lvl>
    <w:lvl w:ilvl="8" w:tplc="AE9E9140" w:tentative="1">
      <w:start w:val="1"/>
      <w:numFmt w:val="lowerRoman"/>
      <w:lvlText w:val="%9."/>
      <w:lvlJc w:val="right"/>
      <w:pPr>
        <w:tabs>
          <w:tab w:val="num" w:pos="6480"/>
        </w:tabs>
        <w:ind w:left="6480" w:hanging="180"/>
      </w:pPr>
    </w:lvl>
  </w:abstractNum>
  <w:abstractNum w:abstractNumId="7" w15:restartNumberingAfterBreak="0">
    <w:nsid w:val="530E010E"/>
    <w:multiLevelType w:val="hybridMultilevel"/>
    <w:tmpl w:val="AA4482D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69C3224F"/>
    <w:multiLevelType w:val="multilevel"/>
    <w:tmpl w:val="9ED833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6D145833"/>
    <w:multiLevelType w:val="multilevel"/>
    <w:tmpl w:val="E0CEDB4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C79FA"/>
    <w:multiLevelType w:val="hybridMultilevel"/>
    <w:tmpl w:val="C8B43D6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66973E7"/>
    <w:multiLevelType w:val="multilevel"/>
    <w:tmpl w:val="9ED2670A"/>
    <w:lvl w:ilvl="0">
      <w:start w:val="1"/>
      <w:numFmt w:val="decimal"/>
      <w:lvlText w:val="%1."/>
      <w:lvlJc w:val="left"/>
      <w:pPr>
        <w:ind w:left="1800" w:hanging="360"/>
      </w:pPr>
      <w:rPr>
        <w:rFonts w:hint="default"/>
        <w:b/>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7E8E705D"/>
    <w:multiLevelType w:val="multilevel"/>
    <w:tmpl w:val="FE6286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7153385">
    <w:abstractNumId w:val="9"/>
  </w:num>
  <w:num w:numId="2" w16cid:durableId="318581428">
    <w:abstractNumId w:val="5"/>
  </w:num>
  <w:num w:numId="3" w16cid:durableId="1957323611">
    <w:abstractNumId w:val="0"/>
  </w:num>
  <w:num w:numId="4" w16cid:durableId="1967470739">
    <w:abstractNumId w:val="2"/>
  </w:num>
  <w:num w:numId="5" w16cid:durableId="238254373">
    <w:abstractNumId w:val="1"/>
  </w:num>
  <w:num w:numId="6" w16cid:durableId="1173183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7538577">
    <w:abstractNumId w:val="12"/>
  </w:num>
  <w:num w:numId="8" w16cid:durableId="159320731">
    <w:abstractNumId w:val="4"/>
  </w:num>
  <w:num w:numId="9" w16cid:durableId="312218819">
    <w:abstractNumId w:val="7"/>
  </w:num>
  <w:num w:numId="10" w16cid:durableId="894969623">
    <w:abstractNumId w:val="11"/>
  </w:num>
  <w:num w:numId="11" w16cid:durableId="1277904988">
    <w:abstractNumId w:val="3"/>
  </w:num>
  <w:num w:numId="12" w16cid:durableId="2032341430">
    <w:abstractNumId w:val="10"/>
  </w:num>
  <w:num w:numId="13" w16cid:durableId="1365056473">
    <w:abstractNumId w:val="8"/>
  </w:num>
  <w:num w:numId="14" w16cid:durableId="1355885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08"/>
    <w:rsid w:val="00011EB8"/>
    <w:rsid w:val="000236C9"/>
    <w:rsid w:val="00035975"/>
    <w:rsid w:val="0004093C"/>
    <w:rsid w:val="000469E1"/>
    <w:rsid w:val="00055DDF"/>
    <w:rsid w:val="00060AD4"/>
    <w:rsid w:val="00060C74"/>
    <w:rsid w:val="000620C4"/>
    <w:rsid w:val="00062CDE"/>
    <w:rsid w:val="00071536"/>
    <w:rsid w:val="00084301"/>
    <w:rsid w:val="00087BD9"/>
    <w:rsid w:val="000943BB"/>
    <w:rsid w:val="00096082"/>
    <w:rsid w:val="000B6B98"/>
    <w:rsid w:val="000D33D0"/>
    <w:rsid w:val="000D3F63"/>
    <w:rsid w:val="000D45CF"/>
    <w:rsid w:val="000E164D"/>
    <w:rsid w:val="000F6C58"/>
    <w:rsid w:val="00100D96"/>
    <w:rsid w:val="00101499"/>
    <w:rsid w:val="00102325"/>
    <w:rsid w:val="00130AD4"/>
    <w:rsid w:val="00146EDC"/>
    <w:rsid w:val="00151A6F"/>
    <w:rsid w:val="00160ED9"/>
    <w:rsid w:val="001644E4"/>
    <w:rsid w:val="0016589C"/>
    <w:rsid w:val="00183820"/>
    <w:rsid w:val="001865CC"/>
    <w:rsid w:val="001874F9"/>
    <w:rsid w:val="0019775F"/>
    <w:rsid w:val="001A62D0"/>
    <w:rsid w:val="001B0F6F"/>
    <w:rsid w:val="001B4393"/>
    <w:rsid w:val="001C43E5"/>
    <w:rsid w:val="001E5943"/>
    <w:rsid w:val="0022239B"/>
    <w:rsid w:val="002241F8"/>
    <w:rsid w:val="002371E1"/>
    <w:rsid w:val="002546F2"/>
    <w:rsid w:val="00266071"/>
    <w:rsid w:val="00292A21"/>
    <w:rsid w:val="002A3905"/>
    <w:rsid w:val="002A7692"/>
    <w:rsid w:val="002B7ADD"/>
    <w:rsid w:val="002D7133"/>
    <w:rsid w:val="002E4DA5"/>
    <w:rsid w:val="002F12A4"/>
    <w:rsid w:val="002F140C"/>
    <w:rsid w:val="002F47A1"/>
    <w:rsid w:val="00316372"/>
    <w:rsid w:val="003220D0"/>
    <w:rsid w:val="00350A77"/>
    <w:rsid w:val="00352E61"/>
    <w:rsid w:val="0035447E"/>
    <w:rsid w:val="00357A82"/>
    <w:rsid w:val="003828F2"/>
    <w:rsid w:val="00391F98"/>
    <w:rsid w:val="003A4557"/>
    <w:rsid w:val="003A621B"/>
    <w:rsid w:val="003B28DD"/>
    <w:rsid w:val="003C0424"/>
    <w:rsid w:val="003C1AF8"/>
    <w:rsid w:val="003D5C49"/>
    <w:rsid w:val="003E11CA"/>
    <w:rsid w:val="003F5FCA"/>
    <w:rsid w:val="004213CC"/>
    <w:rsid w:val="0046158B"/>
    <w:rsid w:val="004619E6"/>
    <w:rsid w:val="004803A1"/>
    <w:rsid w:val="004D3A77"/>
    <w:rsid w:val="004D515D"/>
    <w:rsid w:val="004E0DBD"/>
    <w:rsid w:val="004E1662"/>
    <w:rsid w:val="004F028B"/>
    <w:rsid w:val="004F6785"/>
    <w:rsid w:val="00511A22"/>
    <w:rsid w:val="005249DE"/>
    <w:rsid w:val="005522D9"/>
    <w:rsid w:val="0056625F"/>
    <w:rsid w:val="00576773"/>
    <w:rsid w:val="005840A8"/>
    <w:rsid w:val="005A2D93"/>
    <w:rsid w:val="005A7815"/>
    <w:rsid w:val="005C3DF3"/>
    <w:rsid w:val="005E4538"/>
    <w:rsid w:val="005F3BA6"/>
    <w:rsid w:val="005F47EF"/>
    <w:rsid w:val="00600776"/>
    <w:rsid w:val="0060172E"/>
    <w:rsid w:val="0061001C"/>
    <w:rsid w:val="006430C4"/>
    <w:rsid w:val="00644550"/>
    <w:rsid w:val="00661EFF"/>
    <w:rsid w:val="0066648E"/>
    <w:rsid w:val="00667578"/>
    <w:rsid w:val="00677498"/>
    <w:rsid w:val="00683962"/>
    <w:rsid w:val="006C2C28"/>
    <w:rsid w:val="006D0E48"/>
    <w:rsid w:val="006F0B07"/>
    <w:rsid w:val="006F1266"/>
    <w:rsid w:val="006F6475"/>
    <w:rsid w:val="00700B11"/>
    <w:rsid w:val="00702279"/>
    <w:rsid w:val="007043A3"/>
    <w:rsid w:val="00717F6E"/>
    <w:rsid w:val="007318A7"/>
    <w:rsid w:val="007345C7"/>
    <w:rsid w:val="00752AAF"/>
    <w:rsid w:val="00755B6E"/>
    <w:rsid w:val="007958D4"/>
    <w:rsid w:val="007A76EB"/>
    <w:rsid w:val="007A774E"/>
    <w:rsid w:val="007A793C"/>
    <w:rsid w:val="007B169B"/>
    <w:rsid w:val="007B190B"/>
    <w:rsid w:val="007B7998"/>
    <w:rsid w:val="007C39E2"/>
    <w:rsid w:val="007D23BE"/>
    <w:rsid w:val="007D4FAA"/>
    <w:rsid w:val="007D57B5"/>
    <w:rsid w:val="007E09F2"/>
    <w:rsid w:val="007E375A"/>
    <w:rsid w:val="007E744C"/>
    <w:rsid w:val="007F67EA"/>
    <w:rsid w:val="00834A70"/>
    <w:rsid w:val="0084364E"/>
    <w:rsid w:val="00850B75"/>
    <w:rsid w:val="00856664"/>
    <w:rsid w:val="00873F2C"/>
    <w:rsid w:val="00882A1C"/>
    <w:rsid w:val="00883B0E"/>
    <w:rsid w:val="00894F44"/>
    <w:rsid w:val="0089717A"/>
    <w:rsid w:val="008A5FA1"/>
    <w:rsid w:val="008A7899"/>
    <w:rsid w:val="008C4493"/>
    <w:rsid w:val="008D5AEE"/>
    <w:rsid w:val="008E617E"/>
    <w:rsid w:val="008F4731"/>
    <w:rsid w:val="008F5586"/>
    <w:rsid w:val="009005D5"/>
    <w:rsid w:val="00900FA8"/>
    <w:rsid w:val="00911DF9"/>
    <w:rsid w:val="00913759"/>
    <w:rsid w:val="00915027"/>
    <w:rsid w:val="00921AE1"/>
    <w:rsid w:val="00932B65"/>
    <w:rsid w:val="00954E9D"/>
    <w:rsid w:val="009B74A8"/>
    <w:rsid w:val="009C120D"/>
    <w:rsid w:val="009F13F3"/>
    <w:rsid w:val="009F2B80"/>
    <w:rsid w:val="009F6F77"/>
    <w:rsid w:val="009F7EDE"/>
    <w:rsid w:val="00A11285"/>
    <w:rsid w:val="00A14632"/>
    <w:rsid w:val="00A16D7E"/>
    <w:rsid w:val="00A20B8E"/>
    <w:rsid w:val="00A214E4"/>
    <w:rsid w:val="00A271B6"/>
    <w:rsid w:val="00A34732"/>
    <w:rsid w:val="00A34AC8"/>
    <w:rsid w:val="00A36853"/>
    <w:rsid w:val="00A44BE3"/>
    <w:rsid w:val="00A74922"/>
    <w:rsid w:val="00AA1854"/>
    <w:rsid w:val="00AA5861"/>
    <w:rsid w:val="00AC32EE"/>
    <w:rsid w:val="00AC48B5"/>
    <w:rsid w:val="00AD5030"/>
    <w:rsid w:val="00B236A1"/>
    <w:rsid w:val="00B63754"/>
    <w:rsid w:val="00B64F5E"/>
    <w:rsid w:val="00B731FF"/>
    <w:rsid w:val="00B766E1"/>
    <w:rsid w:val="00B76CA2"/>
    <w:rsid w:val="00BA5704"/>
    <w:rsid w:val="00BD6FC7"/>
    <w:rsid w:val="00BE1EB0"/>
    <w:rsid w:val="00BE46D9"/>
    <w:rsid w:val="00BF0509"/>
    <w:rsid w:val="00BF4A14"/>
    <w:rsid w:val="00C01721"/>
    <w:rsid w:val="00C06CC9"/>
    <w:rsid w:val="00C13108"/>
    <w:rsid w:val="00C15EC3"/>
    <w:rsid w:val="00C1619E"/>
    <w:rsid w:val="00C4571C"/>
    <w:rsid w:val="00C60957"/>
    <w:rsid w:val="00C82B5F"/>
    <w:rsid w:val="00C938FD"/>
    <w:rsid w:val="00CA4D44"/>
    <w:rsid w:val="00CC149A"/>
    <w:rsid w:val="00CE3938"/>
    <w:rsid w:val="00CE400B"/>
    <w:rsid w:val="00D0171B"/>
    <w:rsid w:val="00D02EE7"/>
    <w:rsid w:val="00D17882"/>
    <w:rsid w:val="00D232B2"/>
    <w:rsid w:val="00D574B5"/>
    <w:rsid w:val="00D7119A"/>
    <w:rsid w:val="00D74E9F"/>
    <w:rsid w:val="00D771E7"/>
    <w:rsid w:val="00D9041E"/>
    <w:rsid w:val="00DF3F00"/>
    <w:rsid w:val="00E13D1B"/>
    <w:rsid w:val="00E14E9D"/>
    <w:rsid w:val="00E160EB"/>
    <w:rsid w:val="00E2041D"/>
    <w:rsid w:val="00E5246E"/>
    <w:rsid w:val="00E75C51"/>
    <w:rsid w:val="00E872FC"/>
    <w:rsid w:val="00EC16DF"/>
    <w:rsid w:val="00ED3142"/>
    <w:rsid w:val="00EE6F7E"/>
    <w:rsid w:val="00EF2478"/>
    <w:rsid w:val="00F0389B"/>
    <w:rsid w:val="00F41BC2"/>
    <w:rsid w:val="00F4660B"/>
    <w:rsid w:val="00F7168A"/>
    <w:rsid w:val="00F877FE"/>
    <w:rsid w:val="00F923C5"/>
    <w:rsid w:val="00F97A01"/>
    <w:rsid w:val="00FA2BE9"/>
    <w:rsid w:val="00FB1A79"/>
    <w:rsid w:val="00FB654C"/>
    <w:rsid w:val="00FD5FE7"/>
    <w:rsid w:val="00FE3602"/>
    <w:rsid w:val="00FE671F"/>
    <w:rsid w:val="00FF72F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BB5DE"/>
  <w15:chartTrackingRefBased/>
  <w15:docId w15:val="{1C65C0DE-8E04-45F8-A208-53F2334D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bidi="ar-SA"/>
    </w:rPr>
  </w:style>
  <w:style w:type="paragraph" w:styleId="Heading1">
    <w:name w:val="heading 1"/>
    <w:basedOn w:val="Normal"/>
    <w:next w:val="Normal"/>
    <w:qFormat/>
    <w:pPr>
      <w:keepNext/>
      <w:outlineLvl w:val="0"/>
    </w:pPr>
    <w:rPr>
      <w:b/>
      <w:i/>
      <w:sz w:val="22"/>
    </w:rPr>
  </w:style>
  <w:style w:type="paragraph" w:styleId="Heading2">
    <w:name w:val="heading 2"/>
    <w:basedOn w:val="Normal"/>
    <w:next w:val="Normal"/>
    <w:qFormat/>
    <w:pPr>
      <w:spacing w:before="120"/>
      <w:outlineLvl w:val="1"/>
    </w:pPr>
    <w:rPr>
      <w:b/>
      <w:lang w:val="en-US"/>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outlineLvl w:val="3"/>
    </w:pPr>
    <w:rPr>
      <w:rFonts w:cs="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rFonts w:ascii="Times New Roman" w:hAnsi="Times New Roman"/>
      <w:lang w:val="en-GB"/>
    </w:rPr>
  </w:style>
  <w:style w:type="paragraph" w:styleId="BodyText2">
    <w:name w:val="Body Text 2"/>
    <w:basedOn w:val="Normal"/>
    <w:pPr>
      <w:jc w:val="both"/>
    </w:pPr>
    <w:rPr>
      <w:sz w:val="22"/>
    </w:rPr>
  </w:style>
  <w:style w:type="paragraph" w:styleId="Title">
    <w:name w:val="Title"/>
    <w:basedOn w:val="Normal"/>
    <w:link w:val="TitleChar"/>
    <w:qFormat/>
    <w:pPr>
      <w:jc w:val="center"/>
    </w:pPr>
    <w:rPr>
      <w:rFonts w:ascii="Times New Roman" w:hAnsi="Times New Roman"/>
      <w:sz w:val="28"/>
    </w:rPr>
  </w:style>
  <w:style w:type="paragraph" w:styleId="BodyText">
    <w:name w:val="Body Text"/>
    <w:basedOn w:val="Normal"/>
    <w:pPr>
      <w:jc w:val="both"/>
    </w:pPr>
    <w:rPr>
      <w:sz w:val="22"/>
    </w:rPr>
  </w:style>
  <w:style w:type="paragraph" w:styleId="BodyTextIndent2">
    <w:name w:val="Body Text Indent 2"/>
    <w:basedOn w:val="Normal"/>
    <w:pPr>
      <w:ind w:left="709" w:hanging="709"/>
      <w:jc w:val="both"/>
    </w:pPr>
    <w:rPr>
      <w:sz w:val="22"/>
    </w:rPr>
  </w:style>
  <w:style w:type="paragraph" w:styleId="BodyTextIndent3">
    <w:name w:val="Body Text Indent 3"/>
    <w:basedOn w:val="Normal"/>
    <w:pPr>
      <w:ind w:left="426" w:hanging="58"/>
      <w:jc w:val="both"/>
    </w:pPr>
    <w:rPr>
      <w:sz w:val="22"/>
    </w:rPr>
  </w:style>
  <w:style w:type="paragraph" w:styleId="BodyText3">
    <w:name w:val="Body Text 3"/>
    <w:basedOn w:val="Normal"/>
    <w:pPr>
      <w:jc w:val="both"/>
    </w:pPr>
    <w:rPr>
      <w:sz w:val="22"/>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Hyperlink">
    <w:name w:val="Hyperlink"/>
    <w:rsid w:val="003F5FCA"/>
    <w:rPr>
      <w:color w:val="0000FF"/>
      <w:u w:val="single"/>
    </w:rPr>
  </w:style>
  <w:style w:type="table" w:styleId="TableGrid">
    <w:name w:val="Table Grid"/>
    <w:basedOn w:val="TableNormal"/>
    <w:uiPriority w:val="39"/>
    <w:rsid w:val="00087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087BD9"/>
    <w:rPr>
      <w:sz w:val="28"/>
      <w:lang w:eastAsia="en-US"/>
    </w:rPr>
  </w:style>
  <w:style w:type="character" w:styleId="CommentReference">
    <w:name w:val="annotation reference"/>
    <w:uiPriority w:val="99"/>
    <w:unhideWhenUsed/>
    <w:rsid w:val="00087BD9"/>
    <w:rPr>
      <w:sz w:val="16"/>
      <w:szCs w:val="16"/>
    </w:rPr>
  </w:style>
  <w:style w:type="paragraph" w:styleId="CommentText">
    <w:name w:val="annotation text"/>
    <w:basedOn w:val="Normal"/>
    <w:link w:val="CommentTextChar"/>
    <w:uiPriority w:val="99"/>
    <w:unhideWhenUsed/>
    <w:rsid w:val="00087BD9"/>
    <w:rPr>
      <w:rFonts w:ascii="Times New Roman" w:hAnsi="Times New Roman"/>
      <w:sz w:val="20"/>
      <w:lang w:eastAsia="lv-LV"/>
    </w:rPr>
  </w:style>
  <w:style w:type="character" w:customStyle="1" w:styleId="CommentTextChar">
    <w:name w:val="Comment Text Char"/>
    <w:basedOn w:val="DefaultParagraphFont"/>
    <w:link w:val="CommentText"/>
    <w:uiPriority w:val="99"/>
    <w:rsid w:val="00087BD9"/>
  </w:style>
  <w:style w:type="paragraph" w:styleId="ListParagraph">
    <w:name w:val="List Paragraph"/>
    <w:basedOn w:val="Normal"/>
    <w:uiPriority w:val="34"/>
    <w:qFormat/>
    <w:rsid w:val="00352E61"/>
    <w:pPr>
      <w:ind w:left="720"/>
    </w:pPr>
  </w:style>
  <w:style w:type="character" w:styleId="UnresolvedMention">
    <w:name w:val="Unresolved Mention"/>
    <w:uiPriority w:val="99"/>
    <w:semiHidden/>
    <w:unhideWhenUsed/>
    <w:rsid w:val="00F97A01"/>
    <w:rPr>
      <w:color w:val="605E5C"/>
      <w:shd w:val="clear" w:color="auto" w:fill="E1DFDD"/>
    </w:rPr>
  </w:style>
  <w:style w:type="character" w:customStyle="1" w:styleId="FooterChar">
    <w:name w:val="Footer Char"/>
    <w:basedOn w:val="DefaultParagraphFont"/>
    <w:link w:val="Footer"/>
    <w:uiPriority w:val="99"/>
    <w:rsid w:val="00BA5704"/>
    <w:rPr>
      <w:rFonts w:ascii="Arial" w:hAnsi="Arial"/>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805">
      <w:bodyDiv w:val="1"/>
      <w:marLeft w:val="0"/>
      <w:marRight w:val="0"/>
      <w:marTop w:val="0"/>
      <w:marBottom w:val="0"/>
      <w:divBdr>
        <w:top w:val="none" w:sz="0" w:space="0" w:color="auto"/>
        <w:left w:val="none" w:sz="0" w:space="0" w:color="auto"/>
        <w:bottom w:val="none" w:sz="0" w:space="0" w:color="auto"/>
        <w:right w:val="none" w:sz="0" w:space="0" w:color="auto"/>
      </w:divBdr>
    </w:div>
    <w:div w:id="1223907659">
      <w:bodyDiv w:val="1"/>
      <w:marLeft w:val="0"/>
      <w:marRight w:val="0"/>
      <w:marTop w:val="0"/>
      <w:marBottom w:val="0"/>
      <w:divBdr>
        <w:top w:val="none" w:sz="0" w:space="0" w:color="auto"/>
        <w:left w:val="none" w:sz="0" w:space="0" w:color="auto"/>
        <w:bottom w:val="none" w:sz="0" w:space="0" w:color="auto"/>
        <w:right w:val="none" w:sz="0" w:space="0" w:color="auto"/>
      </w:divBdr>
    </w:div>
    <w:div w:id="16387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B6ACD-55F9-40FF-B32A-4AC0EDDE5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7243</Words>
  <Characters>4130</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LĪGUMS PAR KONFIDENCIALITĀTI</vt:lpstr>
    </vt:vector>
  </TitlesOfParts>
  <Company>LMT</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KONFIDENCIALITĀTI</dc:title>
  <dc:subject/>
  <dc:creator>Iveta Ališauska</dc:creator>
  <cp:keywords/>
  <cp:lastModifiedBy>Iveta Ališauska</cp:lastModifiedBy>
  <cp:revision>2</cp:revision>
  <cp:lastPrinted>2026-01-14T12:56:00Z</cp:lastPrinted>
  <dcterms:created xsi:type="dcterms:W3CDTF">2026-02-04T12:51:00Z</dcterms:created>
  <dcterms:modified xsi:type="dcterms:W3CDTF">2026-02-04T12:51:00Z</dcterms:modified>
</cp:coreProperties>
</file>